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  <w:r>
        <w:t xml:space="preserve"> </w:t>
      </w:r>
      <w:r>
        <w:t xml:space="preserve">of</w:t>
      </w:r>
      <w:r>
        <w:t xml:space="preserve"> </w:t>
      </w:r>
      <w:r>
        <w:t xml:space="preserve">Statistical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Abhijit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07,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results"/>
      <w:r>
        <w:t xml:space="preserve">RESULTS</w:t>
      </w:r>
      <w:bookmarkEnd w:id="20"/>
    </w:p>
    <w:p>
      <w:pPr>
        <w:pStyle w:val="FirstParagraph"/>
      </w:pPr>
      <w:r>
        <w:t xml:space="preserve">In 2011, there were 239,950 TKA among</w:t>
      </w:r>
      <w:r>
        <w:t xml:space="preserve"> </w:t>
      </w:r>
      <w:r>
        <w:t xml:space="preserve">28,808,011 beneficiaries in the study, while</w:t>
      </w:r>
      <w:r>
        <w:t xml:space="preserve"> </w:t>
      </w:r>
      <w:r>
        <w:t xml:space="preserve">in</w:t>
      </w:r>
      <w:r>
        <w:t xml:space="preserve"> </w:t>
      </w:r>
      <w:r>
        <w:t xml:space="preserve">2015, there were 262,013 TKA among 30,177,710 beneficiaries. When the expected rate of</w:t>
      </w:r>
      <w:r>
        <w:t xml:space="preserve"> </w:t>
      </w:r>
      <w:r>
        <w:t xml:space="preserve">TKA was based on adjustment for age, sex, and race/ethnicity, the OER</w:t>
      </w:r>
      <w:r>
        <w:t xml:space="preserve"> </w:t>
      </w:r>
      <w:r>
        <w:t xml:space="preserve">varied widely among HRRs (Supplemental figure 1-map). The highest OER of</w:t>
      </w:r>
      <w:r>
        <w:t xml:space="preserve"> </w:t>
      </w:r>
      <w:r>
        <w:t xml:space="preserve">1.72 was in Idaho Falls, ID, while the lowest OER of 0.52 was in</w:t>
      </w:r>
      <w:r>
        <w:t xml:space="preserve"> </w:t>
      </w:r>
      <w:r>
        <w:t xml:space="preserve">Bronx, NY.</w:t>
      </w:r>
      <w:r>
        <w:t xml:space="preserve"> </w:t>
      </w:r>
      <w:r>
        <w:t xml:space="preserve">HRRs with the highest OER were predominantly white, while HRRs with</w:t>
      </w:r>
      <w:r>
        <w:t xml:space="preserve"> </w:t>
      </w:r>
      <w:r>
        <w:t xml:space="preserve">the lowest OERs had large proportions of ethnic minorities (Supplemental</w:t>
      </w:r>
      <w:r>
        <w:t xml:space="preserve"> </w:t>
      </w:r>
      <w:r>
        <w:t xml:space="preserve">table 1). Despite adjustment of the expected rates for race/ethnicity,</w:t>
      </w:r>
      <w:r>
        <w:t xml:space="preserve"> </w:t>
      </w:r>
      <w:r>
        <w:t xml:space="preserve">significant correlations remained between the OER and the racial</w:t>
      </w:r>
      <w:r>
        <w:t xml:space="preserve"> </w:t>
      </w:r>
      <w:r>
        <w:t xml:space="preserve">composition of the HRR, indicating residual confounding (Supplemental</w:t>
      </w:r>
      <w:r>
        <w:t xml:space="preserve"> </w:t>
      </w:r>
      <w:r>
        <w:t xml:space="preserve">figure 2). Therefore, subsequent analyses used race-specific models to</w:t>
      </w:r>
      <w:r>
        <w:t xml:space="preserve"> </w:t>
      </w:r>
      <w:r>
        <w:t xml:space="preserve">generate the expected number of TKA. Because whites comprised 84.64% of the</w:t>
      </w:r>
      <w:r>
        <w:t xml:space="preserve"> </w:t>
      </w:r>
      <w:r>
        <w:t xml:space="preserve">sample, our analyses focused on associations among whites.</w:t>
      </w:r>
    </w:p>
    <w:p>
      <w:pPr>
        <w:pStyle w:val="BodyText"/>
      </w:pPr>
      <w:r>
        <w:t xml:space="preserve">Among whites, the clinical characteristics of beneficiaries varied</w:t>
      </w:r>
      <w:r>
        <w:t xml:space="preserve"> </w:t>
      </w:r>
      <w:r>
        <w:t xml:space="preserve">widely among HRR, with for example, the percent of poor beneficiaries</w:t>
      </w:r>
      <w:r>
        <w:t xml:space="preserve"> </w:t>
      </w:r>
      <w:r>
        <w:t xml:space="preserve">ranging from 0.83% to</w:t>
      </w:r>
      <w:r>
        <w:t xml:space="preserve"> </w:t>
      </w:r>
      <w:r>
        <w:t xml:space="preserve">3.33%,</w:t>
      </w:r>
      <w:r>
        <w:t xml:space="preserve"> </w:t>
      </w:r>
      <w:r>
        <w:t xml:space="preserve">and those with dementia ranging from</w:t>
      </w:r>
      <w:r>
        <w:t xml:space="preserve"> </w:t>
      </w:r>
      <w:r>
        <w:t xml:space="preserve">0.63% to</w:t>
      </w:r>
      <w:r>
        <w:t xml:space="preserve"> </w:t>
      </w:r>
      <w:r>
        <w:t xml:space="preserve">2.63%.</w:t>
      </w:r>
      <w:r>
        <w:t xml:space="preserve"> </w:t>
      </w:r>
      <w:r>
        <w:t xml:space="preserve">(Supplemental table 2). Adjustment for indicators of knee</w:t>
      </w:r>
      <w:r>
        <w:t xml:space="preserve"> </w:t>
      </w:r>
      <w:r>
        <w:t xml:space="preserve">osteoarthritis, comorbidities, and socioeconomic status resulted in OERs</w:t>
      </w:r>
      <w:r>
        <w:t xml:space="preserve"> </w:t>
      </w:r>
      <w:r>
        <w:t xml:space="preserve">that were somewhat less divergent, with 10</w:t>
      </w:r>
      <w:r>
        <w:rPr>
          <w:vertAlign w:val="superscript"/>
        </w:rPr>
        <w:t xml:space="preserve">th</w:t>
      </w:r>
      <w:r>
        <w:t xml:space="preserve"> </w:t>
      </w:r>
      <w:r>
        <w:t xml:space="preserve">and 90</w:t>
      </w:r>
      <w:r>
        <w:rPr>
          <w:vertAlign w:val="superscript"/>
        </w:rPr>
        <w:t xml:space="preserve">th</w:t>
      </w:r>
      <w:r>
        <w:t xml:space="preserve"> </w:t>
      </w:r>
      <w:r>
        <w:t xml:space="preserve">percentiles of</w:t>
      </w:r>
      <w:r>
        <w:t xml:space="preserve"> </w:t>
      </w:r>
      <w:r>
        <w:t xml:space="preserve">X and X, compared to X and X for OERs based on age and sex-adjustment</w:t>
      </w:r>
      <w:r>
        <w:t xml:space="preserve"> </w:t>
      </w:r>
      <w:r>
        <w:t xml:space="preserve">(Supplemental figure 3 and Supplemental table 3). However, substantial</w:t>
      </w:r>
      <w:r>
        <w:t xml:space="preserve"> </w:t>
      </w:r>
      <w:r>
        <w:t xml:space="preserve">regional variation in OERs remained after adjustment for patient</w:t>
      </w:r>
      <w:r>
        <w:t xml:space="preserve"> </w:t>
      </w:r>
      <w:r>
        <w:t xml:space="preserve">characteristics, with high OER in several HRR in the upper Midwest and</w:t>
      </w:r>
      <w:r>
        <w:t xml:space="preserve"> </w:t>
      </w:r>
      <w:r>
        <w:t xml:space="preserve">mountain west, and low OER in the New York City region and south Florida</w:t>
      </w:r>
      <w:r>
        <w:t xml:space="preserve"> </w:t>
      </w:r>
      <w:r>
        <w:t xml:space="preserve">(Figure 1 and Supplemental table 4).</w:t>
      </w:r>
    </w:p>
    <w:p>
      <w:pPr>
        <w:pStyle w:val="BodyText"/>
      </w:pPr>
      <w:r>
        <w:t xml:space="preserve">HRRs that included more rural residents had generally higher OER than</w:t>
      </w:r>
      <w:r>
        <w:t xml:space="preserve"> </w:t>
      </w:r>
      <w:r>
        <w:t xml:space="preserve">those that were less rural (Figure 2). HRRs whose residents had fewer</w:t>
      </w:r>
      <w:r>
        <w:t xml:space="preserve"> </w:t>
      </w:r>
      <w:r>
        <w:t xml:space="preserve">outpatient visits for knee complaints also had higher OER than those</w:t>
      </w:r>
      <w:r>
        <w:t xml:space="preserve"> </w:t>
      </w:r>
      <w:r>
        <w:t xml:space="preserve">whose residents had more such visits. There was no association between</w:t>
      </w:r>
      <w:r>
        <w:t xml:space="preserve"> </w:t>
      </w:r>
      <w:r>
        <w:t xml:space="preserve">the OER and the proportion of Medicare Advantage beneficiaries in an</w:t>
      </w:r>
      <w:r>
        <w:t xml:space="preserve"> </w:t>
      </w:r>
      <w:r>
        <w:t xml:space="preserve">HRR. In contrast, HRRs with more TKA surgeons per capita had higher OERs</w:t>
      </w:r>
      <w:r>
        <w:t xml:space="preserve"> </w:t>
      </w:r>
      <w:r>
        <w:t xml:space="preserve">than those with fewer surgeons per capita.</w:t>
      </w:r>
    </w:p>
    <w:p>
      <w:pPr>
        <w:pStyle w:val="BodyText"/>
      </w:pPr>
      <w:r>
        <w:t xml:space="preserve">HRRs with high OERs tended to have high OERs among patients with very</w:t>
      </w:r>
      <w:r>
        <w:t xml:space="preserve"> </w:t>
      </w:r>
      <w:r>
        <w:t xml:space="preserve">low estimated probabilities of TKA as well as those with higher</w:t>
      </w:r>
      <w:r>
        <w:t xml:space="preserve"> </w:t>
      </w:r>
      <w:r>
        <w:t xml:space="preserve">estimated probabilities of TKA, while HRRs with low OERs tended to have</w:t>
      </w:r>
      <w:r>
        <w:t xml:space="preserve"> </w:t>
      </w:r>
      <w:r>
        <w:t xml:space="preserve">low OERs across quartiles of estimated probability of TKA (Figure 3).</w:t>
      </w:r>
      <w:r>
        <w:t xml:space="preserve"> </w:t>
      </w:r>
      <w:r>
        <w:t xml:space="preserve">This pattern suggests that HRRs with high OERs were less discriminating</w:t>
      </w:r>
      <w:r>
        <w:t xml:space="preserve"> </w:t>
      </w:r>
      <w:r>
        <w:t xml:space="preserve">in performing TKA across a spectrum of beneficiaries with varying</w:t>
      </w:r>
      <w:r>
        <w:t xml:space="preserve"> </w:t>
      </w:r>
      <w:r>
        <w:t xml:space="preserve">likelihood of TKA, and that HRRs with low OERs were universally more</w:t>
      </w:r>
      <w:r>
        <w:t xml:space="preserve"> </w:t>
      </w:r>
      <w:r>
        <w:t xml:space="preserve">discriminating. Consistent with this interpretation, rates of TKA among</w:t>
      </w:r>
      <w:r>
        <w:t xml:space="preserve"> </w:t>
      </w:r>
      <w:r>
        <w:t xml:space="preserve">beneficiaries with dementia, peripheral vascular disease, and leg ulcers</w:t>
      </w:r>
      <w:r>
        <w:t xml:space="preserve"> </w:t>
      </w:r>
      <w:r>
        <w:t xml:space="preserve">were higher in HRRs with high OERs, as were rates among healthy 65 to 69</w:t>
      </w:r>
      <w:r>
        <w:t xml:space="preserve"> </w:t>
      </w:r>
      <w:r>
        <w:t xml:space="preserve">year-olds (Figure 4).</w:t>
      </w:r>
    </w:p>
    <w:p>
      <w:pPr>
        <w:pStyle w:val="BodyText"/>
      </w:pPr>
      <w:r>
        <w:t xml:space="preserve">The number of TKA surgeons per HRR ranged from 48 to</w:t>
      </w:r>
      <w:r>
        <w:t xml:space="preserve"> </w:t>
      </w:r>
      <w:r>
        <w:t xml:space="preserve">1047. The annual number of TKA performed varied widely, but</w:t>
      </w:r>
      <w:r>
        <w:t xml:space="preserve"> </w:t>
      </w:r>
      <w:r>
        <w:t xml:space="preserve">the number and range of TKAs per surgeon was similar in high OER regions as in</w:t>
      </w:r>
      <w:r>
        <w:t xml:space="preserve"> </w:t>
      </w:r>
      <w:r>
        <w:t xml:space="preserve">other regions (Supplemental figure 4).</w:t>
      </w:r>
    </w:p>
    <w:p>
      <w:pPr>
        <w:pStyle w:val="BodyText"/>
      </w:pPr>
      <w:r>
        <w:t xml:space="preserve">Analyses in blacks, Hispanics, and Asians was limited by low representation</w:t>
      </w:r>
      <w:r>
        <w:t xml:space="preserve"> </w:t>
      </w:r>
      <w:r>
        <w:t xml:space="preserve">across HRRs. Only six HRR included at least 15,000 Hispanic beneficiaries,</w:t>
      </w:r>
      <w:r>
        <w:t xml:space="preserve"> </w:t>
      </w:r>
      <w:r>
        <w:t xml:space="preserve">which corresponded to the lowest white HRR population in our study. Forty-two</w:t>
      </w:r>
      <w:r>
        <w:t xml:space="preserve"> </w:t>
      </w:r>
      <w:r>
        <w:t xml:space="preserve">HRRs included at least 15,000 black beneficiaries. OERs among blacks in these</w:t>
      </w:r>
      <w:r>
        <w:t xml:space="preserve"> </w:t>
      </w:r>
      <w:r>
        <w:t xml:space="preserve">HRRs ranged from 0.59 to</w:t>
      </w:r>
      <w:r>
        <w:t xml:space="preserve"> </w:t>
      </w:r>
      <w:r>
        <w:t xml:space="preserve">r round(max(smr_black_filt$smr1),2)` (Supplemental table 5). OERs in blacks and whites</w:t>
      </w:r>
      <w:r>
        <w:t xml:space="preserve"> </w:t>
      </w:r>
      <w:r>
        <w:t xml:space="preserve">in these regions were positively correlated, and generally higher among blacks</w:t>
      </w:r>
      <w:r>
        <w:t xml:space="preserve"> </w:t>
      </w:r>
      <w:r>
        <w:t xml:space="preserve">(Figure 5).</w:t>
      </w:r>
    </w:p>
    <w:p>
      <w:pPr>
        <w:pStyle w:val="Heading2"/>
      </w:pPr>
      <w:bookmarkStart w:id="21" w:name="hawaii"/>
      <w:r>
        <w:t xml:space="preserve">Hawaii</w:t>
      </w:r>
      <w:bookmarkEnd w:id="21"/>
    </w:p>
    <w:p>
      <w:pPr>
        <w:pStyle w:val="FirstParagraph"/>
      </w:pPr>
      <w:r>
        <w:t xml:space="preserve">The Hawaii HRR information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HRR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State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OER (Model 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OER (Model 3)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Honolulu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0.865</w:t>
            </w:r>
          </w:p>
        </w:tc>
      </w:tr>
    </w:tbl>
    <w:p>
      <w:pPr>
        <w:pStyle w:val="Heading4"/>
      </w:pPr>
      <w:bookmarkStart w:id="22" w:name="table-1.-observedexpected-ratios-oer-for-primary-total-knee-arthroplasty-rates-among-white-medicare-beneficiaries-in-the-urban-centers-or-outlying-areas-of-selected-health-referral-regions.-regions-selected-were-those-with-a-large-geographic-area-an-urban-center-with-a-population-of-100000-or-more-and-an-oer-at-the-low-middle-or-high-end-of-the-distribution."/>
      <w:r>
        <w:t xml:space="preserve">Table 1. Observed/expected ratios (OER) for primary total knee arthroplasty rates among white Medicare beneficiaries in the urban centers or outlying areas of selected Health Referral Regions. Regions selected were those with a large geographic area, an urban center with a population of 100,000 or more, and an OER at the low, middle, or high end of the distribution.</w:t>
      </w:r>
      <w:bookmarkEnd w:id="22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985"/>
        <w:gridCol w:w="6129"/>
        <w:gridCol w:w="1732"/>
        <w:gridCol w:w="2367"/>
        <w:gridCol w:w="2403"/>
        <w:gridCol w:w="2058"/>
      </w:tblGrid>
      <w:tr>
        <w:trPr>
          <w:cantSplit/>
          <w:trHeight w:val="46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Heath Referral</w:t>
              <w:br/>
              <w:t xml:space="preserve"> Region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Percent of </w:t>
              <w:br/>
              <w:t xml:space="preserve">beneficiaries living in</w:t>
              <w:br/>
              <w:t xml:space="preserve"> the urban center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Overall OER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OER urban center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OER outlying area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OER difference</w:t>
            </w:r>
          </w:p>
        </w:tc>
      </w:tr>
      <w:tr>
        <w:trPr>
          <w:cantSplit/>
          <w:trHeight w:val="4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Lexington, 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</w:tr>
      <w:tr>
        <w:trPr>
          <w:cantSplit/>
          <w:trHeight w:val="4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Syracuse, 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</w:t>
            </w:r>
          </w:p>
        </w:tc>
      </w:tr>
      <w:tr>
        <w:trPr>
          <w:cantSplit/>
          <w:trHeight w:val="44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 Antonio, TX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0.28</w:t>
            </w:r>
          </w:p>
        </w:tc>
      </w:tr>
      <w:tr>
        <w:trPr>
          <w:cantSplit/>
          <w:trHeight w:val="4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Albuquerque, NM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</w:tr>
      <w:tr>
        <w:trPr>
          <w:cantSplit/>
          <w:trHeight w:val="44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Bakersfield, 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</w:t>
            </w:r>
          </w:p>
        </w:tc>
      </w:tr>
      <w:tr>
        <w:trPr>
          <w:cantSplit/>
          <w:trHeight w:val="44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Phoenix, 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</w:t>
            </w:r>
          </w:p>
        </w:tc>
      </w:tr>
      <w:tr>
        <w:trPr>
          <w:cantSplit/>
          <w:trHeight w:val="44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Wichita, 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0.41</w:t>
            </w:r>
          </w:p>
        </w:tc>
      </w:tr>
      <w:tr>
        <w:trPr>
          <w:cantSplit/>
          <w:trHeight w:val="44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Lincoln, 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</w:tr>
      <w:tr>
        <w:trPr>
          <w:cantSplit/>
          <w:trHeight w:val="463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 Lake City, UT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0.41</w:t>
            </w:r>
          </w:p>
        </w:tc>
      </w:tr>
    </w:tbl>
    <w:sectPr w:rsidR="004105D7" w:rsidSect="00820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604020202020204"/>
    <w:charset w:val="00"/>
    <w:family w:val="auto"/>
    <w:pitch w:val="variable"/>
    <w:sig w:usb0="0001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BEC1D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20D2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2CD8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58B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AE61D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D831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B42A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44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14D8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322F2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4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92401"/>
    <w:rPr>
      <w:rFonts w:asciiTheme="minorHAnsi" w:hAnsiTheme="minorHAnsi"/>
      <w:sz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401"/>
    <w:pPr>
      <w:keepNext/>
      <w:keepLines/>
      <w:pageBreakBefore/>
      <w:spacing w:after="120"/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  <w:rsid w:val="00D92401"/>
    <w:rPr>
      <w:rFonts w:asciiTheme="minorHAnsi" w:hAnsiTheme="minorHAnsi"/>
      <w:sz w:val="20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92401"/>
    <w:rPr>
      <w:rFonts w:asciiTheme="majorHAnsi" w:eastAsiaTheme="majorEastAsia" w:hAnsiTheme="majorHAnsi" w:cstheme="majorBidi"/>
      <w:b/>
      <w:iCs/>
      <w:color w:val="000000" w:themeColor="text1"/>
      <w:sz w:val="20"/>
      <w:lang w:bidi="ar-S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 of Statistical Analysis</dc:title>
  <dc:creator>Abhijit</dc:creator>
  <cp:keywords/>
  <dcterms:created xsi:type="dcterms:W3CDTF">2019-06-07T22:12:44Z</dcterms:created>
  <dcterms:modified xsi:type="dcterms:W3CDTF">2019-06-07T22:12:44Z</dcterms:modified>
</cp:coreProperties>
</file>