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E1" w:rsidRDefault="00D07850">
      <w:pPr>
        <w:rPr>
          <w:rFonts w:ascii="Arial" w:hAnsi="Arial" w:cs="Arial"/>
        </w:rPr>
      </w:pPr>
      <w:r>
        <w:rPr>
          <w:rFonts w:ascii="Arial" w:hAnsi="Arial" w:cs="Arial"/>
        </w:rPr>
        <w:t>SUPPLEMENT</w:t>
      </w:r>
      <w:r w:rsidR="0022066C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TABLE OF CONTENTS</w:t>
      </w:r>
    </w:p>
    <w:p w:rsidR="00D07850" w:rsidRDefault="00D07850">
      <w:pPr>
        <w:rPr>
          <w:rFonts w:ascii="Arial" w:hAnsi="Arial" w:cs="Arial"/>
        </w:rPr>
      </w:pPr>
    </w:p>
    <w:p w:rsidR="00D07850" w:rsidRDefault="00D078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1.  </w:t>
      </w:r>
      <w:r w:rsidRPr="00D07850">
        <w:rPr>
          <w:rFonts w:ascii="Arial" w:hAnsi="Arial" w:cs="Arial"/>
        </w:rPr>
        <w:t>Observed</w:t>
      </w:r>
      <w:r>
        <w:rPr>
          <w:rFonts w:ascii="Arial" w:hAnsi="Arial" w:cs="Arial"/>
        </w:rPr>
        <w:t>/</w:t>
      </w:r>
      <w:r w:rsidRPr="00D07850">
        <w:rPr>
          <w:rFonts w:ascii="Arial" w:hAnsi="Arial" w:cs="Arial"/>
        </w:rPr>
        <w:t>expected ratios for rates of primary total knee arthroplast</w:t>
      </w:r>
      <w:r>
        <w:rPr>
          <w:rFonts w:ascii="Arial" w:hAnsi="Arial" w:cs="Arial"/>
        </w:rPr>
        <w:t>y</w:t>
      </w:r>
      <w:r w:rsidRPr="00D07850">
        <w:rPr>
          <w:rFonts w:ascii="Arial" w:hAnsi="Arial" w:cs="Arial"/>
        </w:rPr>
        <w:t xml:space="preserve"> among Medicare beneficiaries age 65 to 89 in 2011-2015, by Health Referral Region.  Expected rates were based on models that adjusted for age, sex, </w:t>
      </w:r>
      <w:r>
        <w:rPr>
          <w:rFonts w:ascii="Arial" w:hAnsi="Arial" w:cs="Arial"/>
        </w:rPr>
        <w:t>and race-ethnicity.</w:t>
      </w:r>
    </w:p>
    <w:p w:rsidR="00D07850" w:rsidRDefault="00D07850">
      <w:pPr>
        <w:rPr>
          <w:rFonts w:ascii="Arial" w:hAnsi="Arial" w:cs="Arial"/>
        </w:rPr>
      </w:pPr>
      <w:r>
        <w:rPr>
          <w:rFonts w:ascii="Arial" w:hAnsi="Arial" w:cs="Arial"/>
        </w:rPr>
        <w:t>Table 1.  Race/ethnicity composition of the 10 Health Referral Regions with the lowest and highest observed/expected ratios for rates of primary total knee arthroplasty.</w:t>
      </w:r>
    </w:p>
    <w:p w:rsidR="00D07850" w:rsidRDefault="00D07850">
      <w:pPr>
        <w:rPr>
          <w:rFonts w:ascii="Arial" w:hAnsi="Arial" w:cs="Arial"/>
        </w:rPr>
      </w:pPr>
      <w:bookmarkStart w:id="0" w:name="_Hlk9505348"/>
      <w:r>
        <w:rPr>
          <w:rFonts w:ascii="Arial" w:hAnsi="Arial" w:cs="Arial"/>
        </w:rPr>
        <w:t>Figure 2.  Association between observed/expected ratios for rates of primary total knee arthroplasty by Health Referral Region and the percent of white, black, Hispanic, and Asian Medicare beneficiaries living in the Health Referral Region.</w:t>
      </w:r>
    </w:p>
    <w:bookmarkEnd w:id="0"/>
    <w:p w:rsidR="00D07850" w:rsidRDefault="00D76ED3">
      <w:pPr>
        <w:rPr>
          <w:rFonts w:ascii="Arial" w:hAnsi="Arial" w:cs="Arial"/>
        </w:rPr>
      </w:pPr>
      <w:r>
        <w:rPr>
          <w:rFonts w:ascii="Arial" w:hAnsi="Arial" w:cs="Arial"/>
        </w:rPr>
        <w:t>Table 2.  Distribution of demographic and clinical characteristics of white Medicare beneficiaries among Health Referral Regions.</w:t>
      </w:r>
    </w:p>
    <w:p w:rsidR="003F6281" w:rsidRDefault="00CC6E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3.  </w:t>
      </w:r>
      <w:r w:rsidR="00301E39">
        <w:rPr>
          <w:rFonts w:ascii="Arial" w:hAnsi="Arial" w:cs="Arial"/>
        </w:rPr>
        <w:t xml:space="preserve">Distribution of observed/expected ratios for rates of primary total knee arthroplasty among white </w:t>
      </w:r>
      <w:r w:rsidR="003F6281">
        <w:rPr>
          <w:rFonts w:ascii="Arial" w:hAnsi="Arial" w:cs="Arial"/>
        </w:rPr>
        <w:t xml:space="preserve">Medicare </w:t>
      </w:r>
      <w:r w:rsidR="00301E39">
        <w:rPr>
          <w:rFonts w:ascii="Arial" w:hAnsi="Arial" w:cs="Arial"/>
        </w:rPr>
        <w:t xml:space="preserve">beneficiaries with expected rates based on </w:t>
      </w:r>
      <w:r w:rsidR="003F6281">
        <w:rPr>
          <w:rFonts w:ascii="Arial" w:hAnsi="Arial" w:cs="Arial"/>
        </w:rPr>
        <w:t xml:space="preserve">the </w:t>
      </w:r>
      <w:r w:rsidR="00301E39">
        <w:rPr>
          <w:rFonts w:ascii="Arial" w:hAnsi="Arial" w:cs="Arial"/>
        </w:rPr>
        <w:t>age</w:t>
      </w:r>
      <w:r w:rsidR="003F6281">
        <w:rPr>
          <w:rFonts w:ascii="Arial" w:hAnsi="Arial" w:cs="Arial"/>
        </w:rPr>
        <w:t>-</w:t>
      </w:r>
      <w:r w:rsidR="00301E39">
        <w:rPr>
          <w:rFonts w:ascii="Arial" w:hAnsi="Arial" w:cs="Arial"/>
        </w:rPr>
        <w:t xml:space="preserve"> and sex</w:t>
      </w:r>
      <w:r w:rsidR="003F6281">
        <w:rPr>
          <w:rFonts w:ascii="Arial" w:hAnsi="Arial" w:cs="Arial"/>
        </w:rPr>
        <w:t>-</w:t>
      </w:r>
      <w:r w:rsidR="00301E39">
        <w:rPr>
          <w:rFonts w:ascii="Arial" w:hAnsi="Arial" w:cs="Arial"/>
        </w:rPr>
        <w:t>adjust</w:t>
      </w:r>
      <w:r w:rsidR="003F6281">
        <w:rPr>
          <w:rFonts w:ascii="Arial" w:hAnsi="Arial" w:cs="Arial"/>
        </w:rPr>
        <w:t xml:space="preserve">ed </w:t>
      </w:r>
      <w:proofErr w:type="gramStart"/>
      <w:r w:rsidR="003F6281">
        <w:rPr>
          <w:rFonts w:ascii="Arial" w:hAnsi="Arial" w:cs="Arial"/>
        </w:rPr>
        <w:t>model</w:t>
      </w:r>
      <w:r w:rsidR="00301E39">
        <w:rPr>
          <w:rFonts w:ascii="Arial" w:hAnsi="Arial" w:cs="Arial"/>
        </w:rPr>
        <w:t>, or</w:t>
      </w:r>
      <w:proofErr w:type="gramEnd"/>
      <w:r w:rsidR="00301E39">
        <w:rPr>
          <w:rFonts w:ascii="Arial" w:hAnsi="Arial" w:cs="Arial"/>
        </w:rPr>
        <w:t xml:space="preserve"> based on the full model that adjusted for age, sex, </w:t>
      </w:r>
      <w:r w:rsidR="00301E39" w:rsidRPr="00301E39">
        <w:rPr>
          <w:rFonts w:ascii="Arial" w:hAnsi="Arial" w:cs="Arial"/>
        </w:rPr>
        <w:t>presence of knee symptoms, area-based measures of obesity, smoking, and physically demanding occupations, 20 comorbid conditions, poverty, and area-based socioeconomic score.</w:t>
      </w:r>
      <w:r w:rsidR="00301E39">
        <w:rPr>
          <w:rFonts w:ascii="Arial" w:hAnsi="Arial" w:cs="Arial"/>
        </w:rPr>
        <w:t xml:space="preserve">  Observed/expected ratios based on the full model were more concentrated around 1.0 (kurtosis 0.079) than the</w:t>
      </w:r>
      <w:r w:rsidR="003F6281">
        <w:rPr>
          <w:rFonts w:ascii="Arial" w:hAnsi="Arial" w:cs="Arial"/>
        </w:rPr>
        <w:t xml:space="preserve"> age- and sex-adjusted model (kurtosis 1.21).</w:t>
      </w:r>
    </w:p>
    <w:p w:rsidR="00CC6E87" w:rsidRDefault="003F6281">
      <w:pPr>
        <w:rPr>
          <w:rFonts w:ascii="Arial" w:hAnsi="Arial" w:cs="Arial"/>
        </w:rPr>
      </w:pPr>
      <w:bookmarkStart w:id="1" w:name="_Hlk9505693"/>
      <w:r>
        <w:rPr>
          <w:rFonts w:ascii="Arial" w:hAnsi="Arial" w:cs="Arial"/>
        </w:rPr>
        <w:t>Table 3.  Results of the Poisson regression model for expected rates of primary total knee arthroplasty among white Medicare beneficiaries.</w:t>
      </w:r>
      <w:r w:rsidR="00301E39">
        <w:rPr>
          <w:rFonts w:ascii="Arial" w:hAnsi="Arial" w:cs="Arial"/>
        </w:rPr>
        <w:t xml:space="preserve"> </w:t>
      </w:r>
    </w:p>
    <w:p w:rsidR="003F6281" w:rsidRDefault="003F6281">
      <w:pPr>
        <w:rPr>
          <w:rFonts w:ascii="Arial" w:hAnsi="Arial" w:cs="Arial"/>
        </w:rPr>
      </w:pPr>
      <w:r>
        <w:rPr>
          <w:rFonts w:ascii="Arial" w:hAnsi="Arial" w:cs="Arial"/>
        </w:rPr>
        <w:t>Table 4.  Observed/expected ratios for rates of primary total knee arthroplasty among white Medicare beneficiaries by Health Referral Region.  Expected rates were based on the full model.</w:t>
      </w:r>
    </w:p>
    <w:p w:rsidR="003F6281" w:rsidRDefault="003F62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4.  </w:t>
      </w:r>
      <w:r w:rsidR="0022066C">
        <w:rPr>
          <w:rFonts w:ascii="Arial" w:hAnsi="Arial" w:cs="Arial"/>
        </w:rPr>
        <w:t>Mean annual number of primary total knee arthroplasties performed per surgeon among white Medicare beneficiaries, by Health Referral Region.  Regions are ordered from low to high based on their observed/expected ratio.</w:t>
      </w:r>
    </w:p>
    <w:p w:rsidR="0022066C" w:rsidRDefault="002206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Table 5.  </w:t>
      </w:r>
      <w:r w:rsidRPr="0022066C">
        <w:rPr>
          <w:rFonts w:ascii="Arial" w:hAnsi="Arial" w:cs="Arial"/>
        </w:rPr>
        <w:t xml:space="preserve">Observed/expected ratios for rates of primary total knee arthroplasty among </w:t>
      </w:r>
      <w:r>
        <w:rPr>
          <w:rFonts w:ascii="Arial" w:hAnsi="Arial" w:cs="Arial"/>
        </w:rPr>
        <w:t>black</w:t>
      </w:r>
      <w:r w:rsidRPr="0022066C">
        <w:rPr>
          <w:rFonts w:ascii="Arial" w:hAnsi="Arial" w:cs="Arial"/>
        </w:rPr>
        <w:t xml:space="preserve"> Medicare beneficiaries by Health Referral Region.  Expected rates were based on the full model.</w:t>
      </w:r>
    </w:p>
    <w:p w:rsidR="0022066C" w:rsidRDefault="0022066C">
      <w:pPr>
        <w:rPr>
          <w:rFonts w:ascii="Arial" w:hAnsi="Arial" w:cs="Arial"/>
        </w:rPr>
      </w:pPr>
    </w:p>
    <w:bookmarkEnd w:id="1"/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1C007E" w:rsidRDefault="0022066C">
      <w:pPr>
        <w:rPr>
          <w:rFonts w:ascii="Arial" w:hAnsi="Arial" w:cs="Arial"/>
        </w:rPr>
      </w:pPr>
      <w:r w:rsidRPr="0022066C">
        <w:rPr>
          <w:rFonts w:ascii="Arial" w:hAnsi="Arial" w:cs="Arial"/>
        </w:rPr>
        <w:lastRenderedPageBreak/>
        <w:t xml:space="preserve">Figure 1.  Observed/expected ratios for rates of primary total knee arthroplasty among Medicare </w:t>
      </w:r>
    </w:p>
    <w:p w:rsidR="001C007E" w:rsidRDefault="0022066C">
      <w:pPr>
        <w:rPr>
          <w:rFonts w:ascii="Arial" w:hAnsi="Arial" w:cs="Arial"/>
        </w:rPr>
      </w:pPr>
      <w:r w:rsidRPr="0022066C">
        <w:rPr>
          <w:rFonts w:ascii="Arial" w:hAnsi="Arial" w:cs="Arial"/>
        </w:rPr>
        <w:t xml:space="preserve">beneficiaries age 65 to 89 in 2011-2015, by Health Referral Region.  Expected rates were </w:t>
      </w:r>
    </w:p>
    <w:p w:rsidR="0022066C" w:rsidRDefault="0022066C">
      <w:pPr>
        <w:rPr>
          <w:rFonts w:ascii="Arial" w:hAnsi="Arial" w:cs="Arial"/>
        </w:rPr>
      </w:pPr>
      <w:r w:rsidRPr="0022066C">
        <w:rPr>
          <w:rFonts w:ascii="Arial" w:hAnsi="Arial" w:cs="Arial"/>
        </w:rPr>
        <w:t>based on models that adjusted for age, sex, and race-ethnicity.</w:t>
      </w: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1C007E" w:rsidRDefault="0022066C">
      <w:pPr>
        <w:rPr>
          <w:rFonts w:ascii="Arial" w:hAnsi="Arial" w:cs="Arial"/>
        </w:rPr>
      </w:pPr>
      <w:r w:rsidRPr="0022066C">
        <w:rPr>
          <w:rFonts w:ascii="Arial" w:hAnsi="Arial" w:cs="Arial"/>
        </w:rPr>
        <w:lastRenderedPageBreak/>
        <w:t>Table 1.  Race/ethnicity composition of the 10 Health Referral Regions</w:t>
      </w:r>
      <w:r>
        <w:rPr>
          <w:rFonts w:ascii="Arial" w:hAnsi="Arial" w:cs="Arial"/>
        </w:rPr>
        <w:t xml:space="preserve"> (HRR)</w:t>
      </w:r>
      <w:r w:rsidRPr="0022066C">
        <w:rPr>
          <w:rFonts w:ascii="Arial" w:hAnsi="Arial" w:cs="Arial"/>
        </w:rPr>
        <w:t xml:space="preserve"> with the lowest </w:t>
      </w:r>
    </w:p>
    <w:p w:rsidR="001F77BB" w:rsidRDefault="0022066C">
      <w:pPr>
        <w:rPr>
          <w:rFonts w:ascii="Arial" w:hAnsi="Arial" w:cs="Arial"/>
        </w:rPr>
      </w:pPr>
      <w:r w:rsidRPr="0022066C">
        <w:rPr>
          <w:rFonts w:ascii="Arial" w:hAnsi="Arial" w:cs="Arial"/>
        </w:rPr>
        <w:t>and highest observed/expected ratios for rates of primary total knee arthroplasty.</w:t>
      </w:r>
      <w:r w:rsidR="001F77BB">
        <w:rPr>
          <w:rFonts w:ascii="Arial" w:hAnsi="Arial" w:cs="Arial"/>
        </w:rPr>
        <w:t xml:space="preserve">  Percentages </w:t>
      </w:r>
    </w:p>
    <w:p w:rsidR="0022066C" w:rsidRDefault="001F77BB">
      <w:pPr>
        <w:rPr>
          <w:rFonts w:ascii="Arial" w:hAnsi="Arial" w:cs="Arial"/>
        </w:rPr>
      </w:pPr>
      <w:r>
        <w:rPr>
          <w:rFonts w:ascii="Arial" w:hAnsi="Arial" w:cs="Arial"/>
        </w:rPr>
        <w:t>may not add to 100% due to rounding.</w:t>
      </w:r>
    </w:p>
    <w:p w:rsidR="001C007E" w:rsidRDefault="001C007E">
      <w:pPr>
        <w:rPr>
          <w:rFonts w:ascii="Arial" w:hAnsi="Arial" w:cs="Arial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065"/>
        <w:gridCol w:w="1440"/>
        <w:gridCol w:w="1260"/>
        <w:gridCol w:w="1260"/>
        <w:gridCol w:w="1350"/>
        <w:gridCol w:w="1260"/>
        <w:gridCol w:w="1260"/>
      </w:tblGrid>
      <w:tr w:rsidR="001C007E" w:rsidTr="001C007E">
        <w:tc>
          <w:tcPr>
            <w:tcW w:w="2065" w:type="dxa"/>
          </w:tcPr>
          <w:p w:rsidR="0022066C" w:rsidRDefault="00220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HRR</w:t>
            </w:r>
          </w:p>
        </w:tc>
        <w:tc>
          <w:tcPr>
            <w:tcW w:w="1440" w:type="dxa"/>
          </w:tcPr>
          <w:p w:rsidR="001C007E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Observed/</w:t>
            </w:r>
          </w:p>
          <w:p w:rsidR="001C007E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</w:t>
            </w:r>
          </w:p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ratio</w:t>
            </w: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White</w:t>
            </w: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Black</w:t>
            </w:r>
          </w:p>
        </w:tc>
        <w:tc>
          <w:tcPr>
            <w:tcW w:w="135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Hispanic</w:t>
            </w: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Asian</w:t>
            </w: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Other</w:t>
            </w:r>
          </w:p>
        </w:tc>
      </w:tr>
      <w:tr w:rsidR="001C007E" w:rsidTr="001C007E">
        <w:tc>
          <w:tcPr>
            <w:tcW w:w="2065" w:type="dxa"/>
          </w:tcPr>
          <w:p w:rsidR="0022066C" w:rsidRDefault="0022066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22066C" w:rsidRDefault="0022066C" w:rsidP="001C007E">
            <w:pPr>
              <w:jc w:val="center"/>
              <w:rPr>
                <w:rFonts w:ascii="Arial" w:hAnsi="Arial" w:cs="Arial"/>
              </w:rPr>
            </w:pPr>
          </w:p>
        </w:tc>
      </w:tr>
      <w:tr w:rsidR="001C007E" w:rsidTr="00875C04">
        <w:tc>
          <w:tcPr>
            <w:tcW w:w="2065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Bronx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0.52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47.0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33.1</w:t>
            </w:r>
          </w:p>
        </w:tc>
        <w:tc>
          <w:tcPr>
            <w:tcW w:w="135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11.7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2.7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5.4</w:t>
            </w:r>
          </w:p>
        </w:tc>
      </w:tr>
      <w:tr w:rsidR="001C007E" w:rsidTr="00875C04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Newark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0.5</w:t>
            </w:r>
            <w:r>
              <w:rPr>
                <w:rFonts w:ascii="Arial" w:eastAsia="Arial" w:hAnsi="Arial" w:cs="Arial"/>
                <w:color w:val="111111"/>
              </w:rPr>
              <w:t>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62.7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23.9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3.7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4.9</w:t>
            </w:r>
          </w:p>
        </w:tc>
      </w:tr>
      <w:tr w:rsidR="001C007E" w:rsidTr="00875C04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New York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0.54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66.8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16.6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6.5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Miami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0.65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62.6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9.9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22.9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3.5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Hackensack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0.67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79.0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5.3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5.4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New Brunswick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0.68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78.8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6.4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6.6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6.0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San Bernardino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0.69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70.3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8.1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9.6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6.1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5.7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Honolulu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0.70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33.3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0.8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25.9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39.4</w:t>
            </w:r>
          </w:p>
        </w:tc>
      </w:tr>
      <w:tr w:rsidR="001C007E" w:rsidTr="003967B6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East Long Island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0.70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77.8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9.3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5.5</w:t>
            </w:r>
          </w:p>
        </w:tc>
      </w:tr>
      <w:tr w:rsidR="001C007E" w:rsidTr="003967B6">
        <w:tc>
          <w:tcPr>
            <w:tcW w:w="2065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Chicago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0.70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51.6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35.2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5.1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4.1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3.9</w:t>
            </w:r>
          </w:p>
        </w:tc>
      </w:tr>
      <w:tr w:rsidR="001C007E" w:rsidTr="001C007E">
        <w:tc>
          <w:tcPr>
            <w:tcW w:w="2065" w:type="dxa"/>
            <w:shd w:val="clear" w:color="auto" w:fill="D0CECE" w:themeFill="background2" w:themeFillShade="E6"/>
          </w:tcPr>
          <w:p w:rsidR="001C007E" w:rsidRDefault="001C007E" w:rsidP="001C007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D0CECE" w:themeFill="background2" w:themeFillShade="E6"/>
          </w:tcPr>
          <w:p w:rsidR="001C007E" w:rsidRDefault="001C007E" w:rsidP="001C007E">
            <w:pPr>
              <w:jc w:val="center"/>
              <w:rPr>
                <w:rFonts w:ascii="Arial" w:hAnsi="Arial" w:cs="Arial"/>
              </w:rPr>
            </w:pPr>
          </w:p>
        </w:tc>
      </w:tr>
      <w:tr w:rsidR="001C007E" w:rsidTr="00161511">
        <w:tc>
          <w:tcPr>
            <w:tcW w:w="2065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Mason City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1.41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98.5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35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1.0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Wichita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</w:t>
            </w:r>
            <w:r>
              <w:rPr>
                <w:rFonts w:ascii="Arial" w:eastAsia="Arial" w:hAnsi="Arial" w:cs="Arial"/>
                <w:color w:val="111111"/>
              </w:rPr>
              <w:t>4.0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2.2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1.8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Bismarck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95.5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</w:t>
            </w:r>
            <w:r>
              <w:rPr>
                <w:rFonts w:ascii="Arial" w:eastAsia="Arial" w:hAnsi="Arial" w:cs="Arial"/>
                <w:color w:val="111111"/>
              </w:rPr>
              <w:t>1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4.2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Sioux Falls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96.5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0.2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2.9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</w:rPr>
              <w:t>Salt Lake City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1.48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93.7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0.3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3.3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Sioux City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jc w:val="center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1.54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95.2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0.3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2.6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Lincoln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jc w:val="center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1.57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96.9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0.5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1.4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Ogden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jc w:val="center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1.60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94.3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0.9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1.6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0.9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2.2</w:t>
            </w:r>
          </w:p>
        </w:tc>
      </w:tr>
      <w:tr w:rsidR="001C007E" w:rsidTr="00161511">
        <w:tc>
          <w:tcPr>
            <w:tcW w:w="2065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Provo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jc w:val="center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1.64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95.5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0.5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1.7</w:t>
            </w:r>
          </w:p>
        </w:tc>
      </w:tr>
      <w:tr w:rsidR="001C007E" w:rsidTr="00161511">
        <w:tc>
          <w:tcPr>
            <w:tcW w:w="2065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rPr>
                <w:rFonts w:ascii="Arial" w:hAnsi="Arial" w:cs="Arial"/>
              </w:rPr>
            </w:pPr>
            <w:r w:rsidRPr="001C007E">
              <w:rPr>
                <w:rFonts w:ascii="Arial" w:hAnsi="Arial" w:cs="Arial"/>
              </w:rPr>
              <w:t>Idaho Falls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Pr="001C007E" w:rsidRDefault="001C007E" w:rsidP="001C007E">
            <w:pPr>
              <w:spacing w:before="40" w:after="40"/>
              <w:ind w:left="100" w:right="100"/>
              <w:jc w:val="center"/>
              <w:rPr>
                <w:rFonts w:ascii="Arial" w:hAnsi="Arial" w:cs="Arial"/>
              </w:rPr>
            </w:pPr>
            <w:r w:rsidRPr="001C007E">
              <w:rPr>
                <w:rFonts w:ascii="Arial" w:eastAsia="Arial" w:hAnsi="Arial" w:cs="Arial"/>
                <w:color w:val="111111"/>
              </w:rPr>
              <w:t>1.72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95.4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0.1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1.5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0.3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1C007E" w:rsidRDefault="001C007E" w:rsidP="001C007E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</w:rPr>
              <w:t>2.5</w:t>
            </w:r>
          </w:p>
        </w:tc>
      </w:tr>
    </w:tbl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22066C" w:rsidRDefault="0022066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lastRenderedPageBreak/>
        <w:t xml:space="preserve">Figure 2.  Association between observed/expected ratios for rates of primary total knee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arthroplasty by Health Referral Region and the percent of white, black, Hispanic, and Asian </w:t>
      </w:r>
    </w:p>
    <w:p w:rsidR="0022066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Medicare beneficiaries living in the Health Referral Region.</w:t>
      </w: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lastRenderedPageBreak/>
        <w:t xml:space="preserve">Table 2.  Distribution of demographic and clinical characteristics of white Medicare beneficiaries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among Health Referral Regions.</w:t>
      </w:r>
      <w:r w:rsidR="009501CD">
        <w:rPr>
          <w:rFonts w:ascii="Arial" w:hAnsi="Arial" w:cs="Arial"/>
        </w:rPr>
        <w:t xml:space="preserve"> All values are percent.</w:t>
      </w:r>
    </w:p>
    <w:p w:rsidR="0053415C" w:rsidRDefault="005341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58"/>
        <w:gridCol w:w="1557"/>
        <w:gridCol w:w="1557"/>
        <w:gridCol w:w="1558"/>
        <w:gridCol w:w="1558"/>
      </w:tblGrid>
      <w:tr w:rsidR="0053415C" w:rsidTr="0053415C">
        <w:tc>
          <w:tcPr>
            <w:tcW w:w="1558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558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Minimum</w:t>
            </w:r>
          </w:p>
        </w:tc>
        <w:tc>
          <w:tcPr>
            <w:tcW w:w="1558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9501C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percentile</w:t>
            </w:r>
          </w:p>
        </w:tc>
        <w:tc>
          <w:tcPr>
            <w:tcW w:w="1558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</w:t>
            </w:r>
          </w:p>
        </w:tc>
        <w:tc>
          <w:tcPr>
            <w:tcW w:w="1559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Pr="009501C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percentile</w:t>
            </w:r>
          </w:p>
        </w:tc>
        <w:tc>
          <w:tcPr>
            <w:tcW w:w="1559" w:type="dxa"/>
          </w:tcPr>
          <w:p w:rsidR="0053415C" w:rsidRDefault="00950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</w:t>
            </w: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3415C" w:rsidRDefault="0053415C">
            <w:pPr>
              <w:rPr>
                <w:rFonts w:ascii="Arial" w:hAnsi="Arial" w:cs="Arial"/>
              </w:rPr>
            </w:pPr>
          </w:p>
        </w:tc>
      </w:tr>
    </w:tbl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lastRenderedPageBreak/>
        <w:t xml:space="preserve">Figure 3.  Distribution of observed/expected ratios for rates of primary total knee arthroplasty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among white Medicare beneficiaries with expected rates based on the age- and sex-adjusted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model, or based on the full model that adjusted for age, sex, presence of knee symptoms, area-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based measures of obesity, smoking, and physically demanding occupations, 20 comorbid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conditions, poverty, and area-based socioeconomic score.  Observed/expected ratios based on 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the full model </w:t>
      </w:r>
      <w:proofErr w:type="gramStart"/>
      <w:r w:rsidRPr="0053415C">
        <w:rPr>
          <w:rFonts w:ascii="Arial" w:hAnsi="Arial" w:cs="Arial"/>
        </w:rPr>
        <w:t>were</w:t>
      </w:r>
      <w:proofErr w:type="gramEnd"/>
      <w:r w:rsidRPr="0053415C">
        <w:rPr>
          <w:rFonts w:ascii="Arial" w:hAnsi="Arial" w:cs="Arial"/>
        </w:rPr>
        <w:t xml:space="preserve"> more concentrated around 1.0 (kurtosis 0.079) than the age- and sex-</w:t>
      </w:r>
    </w:p>
    <w:p w:rsidR="0053415C" w:rsidRDefault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adjusted model (kurtosis 1.21).</w:t>
      </w: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lastRenderedPageBreak/>
        <w:t xml:space="preserve">Table 3.  Results of the Poisson regression model for expected rates of primary total knee </w:t>
      </w: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arthroplasty among white Medicare beneficiaries. </w:t>
      </w:r>
    </w:p>
    <w:p w:rsidR="009501CD" w:rsidRPr="0053415C" w:rsidRDefault="009501CD" w:rsidP="0053415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</w:t>
            </w: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error</w:t>
            </w: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  <w:tr w:rsidR="009501CD" w:rsidTr="0053415C"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  <w:tc>
          <w:tcPr>
            <w:tcW w:w="1558" w:type="dxa"/>
          </w:tcPr>
          <w:p w:rsidR="009501CD" w:rsidRDefault="009501CD" w:rsidP="0053415C">
            <w:pPr>
              <w:rPr>
                <w:rFonts w:ascii="Arial" w:hAnsi="Arial" w:cs="Arial"/>
              </w:rPr>
            </w:pPr>
          </w:p>
        </w:tc>
      </w:tr>
    </w:tbl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lastRenderedPageBreak/>
        <w:t xml:space="preserve">Table 4.  Observed/expected ratios for rates of primary total knee arthroplasty among white </w:t>
      </w: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Medicare beneficiaries by Health Referral Region.  Expected rates were based on the full </w:t>
      </w:r>
    </w:p>
    <w:p w:rsidR="0053415C" w:rsidRP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Referral Region</w:t>
            </w: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Observed/expected ratio</w:t>
            </w: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  <w:tr w:rsidR="0053415C" w:rsidTr="003E2C38"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3E2C38">
            <w:pPr>
              <w:rPr>
                <w:rFonts w:ascii="Arial" w:hAnsi="Arial" w:cs="Arial"/>
              </w:rPr>
            </w:pPr>
          </w:p>
        </w:tc>
      </w:tr>
    </w:tbl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  <w:bookmarkStart w:id="2" w:name="_GoBack"/>
      <w:bookmarkEnd w:id="2"/>
      <w:r w:rsidRPr="0053415C">
        <w:rPr>
          <w:rFonts w:ascii="Arial" w:hAnsi="Arial" w:cs="Arial"/>
        </w:rPr>
        <w:t xml:space="preserve">Figure 4.  Mean annual number of primary total knee arthroplasties performed per surgeon </w:t>
      </w: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among white Medicare beneficiaries, by Health Referral Region.  Regions are ordered from low </w:t>
      </w:r>
    </w:p>
    <w:p w:rsidR="0053415C" w:rsidRP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to high based on their observed/expected ratio.</w:t>
      </w: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Table 5.  Observed/expected ratios for rates of primary total knee arthroplasty among black </w:t>
      </w: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 xml:space="preserve">Medicare beneficiaries by Health Referral Region.  Expected rates were based on the full </w:t>
      </w:r>
    </w:p>
    <w:p w:rsidR="0053415C" w:rsidRDefault="0053415C" w:rsidP="0053415C">
      <w:pPr>
        <w:rPr>
          <w:rFonts w:ascii="Arial" w:hAnsi="Arial" w:cs="Arial"/>
        </w:rPr>
      </w:pPr>
      <w:r w:rsidRPr="0053415C">
        <w:rPr>
          <w:rFonts w:ascii="Arial" w:hAnsi="Arial" w:cs="Arial"/>
        </w:rPr>
        <w:t>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Referral Region</w:t>
            </w: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Observed/expected ratio</w:t>
            </w: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  <w:tr w:rsidR="0053415C" w:rsidTr="0053415C"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53415C" w:rsidRDefault="0053415C" w:rsidP="0053415C">
            <w:pPr>
              <w:rPr>
                <w:rFonts w:ascii="Arial" w:hAnsi="Arial" w:cs="Arial"/>
              </w:rPr>
            </w:pPr>
          </w:p>
        </w:tc>
      </w:tr>
    </w:tbl>
    <w:p w:rsidR="0053415C" w:rsidRPr="0053415C" w:rsidRDefault="0053415C" w:rsidP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Default="0053415C">
      <w:pPr>
        <w:rPr>
          <w:rFonts w:ascii="Arial" w:hAnsi="Arial" w:cs="Arial"/>
        </w:rPr>
      </w:pPr>
    </w:p>
    <w:p w:rsidR="0053415C" w:rsidRPr="00D07850" w:rsidRDefault="0053415C">
      <w:pPr>
        <w:rPr>
          <w:rFonts w:ascii="Arial" w:hAnsi="Arial" w:cs="Arial"/>
        </w:rPr>
      </w:pPr>
    </w:p>
    <w:sectPr w:rsidR="0053415C" w:rsidRPr="00D0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50"/>
    <w:rsid w:val="001C007E"/>
    <w:rsid w:val="001F77BB"/>
    <w:rsid w:val="0022066C"/>
    <w:rsid w:val="00301E39"/>
    <w:rsid w:val="003F6281"/>
    <w:rsid w:val="0053415C"/>
    <w:rsid w:val="009501CD"/>
    <w:rsid w:val="00A05AE1"/>
    <w:rsid w:val="00CC6E87"/>
    <w:rsid w:val="00D07850"/>
    <w:rsid w:val="00D7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039C"/>
  <w15:chartTrackingRefBased/>
  <w15:docId w15:val="{15F24554-AA55-4463-80FF-9FF2F185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22066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(NIH/NIAMS) [E]</dc:creator>
  <cp:keywords/>
  <dc:description/>
  <cp:lastModifiedBy>Ward, Michael (NIH/NIAMS) [E]</cp:lastModifiedBy>
  <cp:revision>3</cp:revision>
  <dcterms:created xsi:type="dcterms:W3CDTF">2019-05-23T14:51:00Z</dcterms:created>
  <dcterms:modified xsi:type="dcterms:W3CDTF">2019-05-23T16:12:00Z</dcterms:modified>
</cp:coreProperties>
</file>