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Results. Because observed/expected ratios based on expected rates that were</w:t>
      </w:r>
      <w:r>
        <w:t xml:space="preserve"> </w:t>
      </w:r>
      <w:r>
        <w:t xml:space="preserve">adjusted for differences in age, sex, and race/ethnicity demonstrated residual</w:t>
      </w:r>
      <w:r>
        <w:t xml:space="preserve"> </w:t>
      </w:r>
      <w:r>
        <w:t xml:space="preserve">confounding by race/ethnicity, we performed race-stratified analyses.</w:t>
      </w:r>
      <w:r>
        <w:t xml:space="preserve"> </w:t>
      </w:r>
      <w:r>
        <w:rPr>
          <w:i/>
        </w:rPr>
        <w:t xml:space="preserve">Among</w:t>
      </w:r>
      <w:r>
        <w:rPr>
          <w:i/>
        </w:rPr>
        <w:t xml:space="preserve"> </w:t>
      </w:r>
      <w:r>
        <w:rPr>
          <w:i/>
        </w:rPr>
        <w:t xml:space="preserve">white beneficiaries, adjustment for demographic, socioeconomic, and clinical</w:t>
      </w:r>
      <w:r>
        <w:rPr>
          <w:i/>
        </w:rPr>
        <w:t xml:space="preserve"> </w:t>
      </w:r>
      <w:r>
        <w:rPr>
          <w:i/>
        </w:rPr>
        <w:t xml:space="preserve">characteristics increased the proportion of variation explained by 1.2% among Health</w:t>
      </w:r>
      <w:r>
        <w:rPr>
          <w:i/>
        </w:rPr>
        <w:t xml:space="preserve"> </w:t>
      </w:r>
      <w:r>
        <w:rPr>
          <w:i/>
        </w:rPr>
        <w:t xml:space="preserve">Referral Regions, compared to adjustment for age and sex alone.</w:t>
      </w:r>
      <w:r>
        <w:t xml:space="preserve"> </w:t>
      </w:r>
      <w:r>
        <w:t xml:space="preserve">However,</w:t>
      </w:r>
      <w:r>
        <w:t xml:space="preserve"> </w:t>
      </w:r>
      <w:r>
        <w:t xml:space="preserve">substantial variation remained, with observed/expected ratios that ranged from</w:t>
      </w:r>
      <w:r>
        <w:t xml:space="preserve"> </w:t>
      </w:r>
      <w:r>
        <w:t xml:space="preserve">0.61 in Newark NJ to 1.82 in Idaho</w:t>
      </w:r>
      <w:r>
        <w:t xml:space="preserve"> </w:t>
      </w:r>
      <w:r>
        <w:t xml:space="preserve">Falls ID. Ratios above 1.2 were primarily located in the upper Midwest, Great</w:t>
      </w:r>
      <w:r>
        <w:t xml:space="preserve"> </w:t>
      </w:r>
      <w:r>
        <w:t xml:space="preserve">Plains, and mountain west, while ratios below 0.8 were more common in large</w:t>
      </w:r>
      <w:r>
        <w:t xml:space="preserve"> </w:t>
      </w:r>
      <w:r>
        <w:t xml:space="preserve">urban centers. Observed/expected ratios were higher in more rural areas, and</w:t>
      </w:r>
      <w:r>
        <w:t xml:space="preserve"> </w:t>
      </w:r>
      <w:r>
        <w:t xml:space="preserve">were directly related to orthopedic surgeon density. Rates of primary TKA among</w:t>
      </w:r>
      <w:r>
        <w:t xml:space="preserve"> </w:t>
      </w:r>
      <w:r>
        <w:t xml:space="preserve">beneficiaries with dementia, peripheral vascular disease, and leg ulcers were</w:t>
      </w:r>
      <w:r>
        <w:t xml:space="preserve"> </w:t>
      </w:r>
      <w:r>
        <w:t xml:space="preserve">also higher in Health Referral Regions with high observed/expected ratios, as</w:t>
      </w:r>
      <w:r>
        <w:t xml:space="preserve"> </w:t>
      </w:r>
      <w:r>
        <w:t xml:space="preserve">were rates among younger beneficiaries with no comorbidities. Among black</w:t>
      </w:r>
      <w:r>
        <w:t xml:space="preserve"> </w:t>
      </w:r>
      <w:r>
        <w:t xml:space="preserve">beneficiaries, observed/expected ratios in 42 Health Referral Regions ranged</w:t>
      </w:r>
      <w:r>
        <w:t xml:space="preserve"> </w:t>
      </w:r>
      <w:r>
        <w:t xml:space="preserve">from 0.71 to 1.2.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2019-05-31T16:15:53Z</dcterms:created>
  <dcterms:modified xsi:type="dcterms:W3CDTF">2019-05-31T16:15:53Z</dcterms:modified>
</cp:coreProperties>
</file>