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9DB" w:rsidRDefault="003516B5">
      <w:r>
        <w:t>Case-mix a</w:t>
      </w:r>
      <w:r w:rsidR="00FC6653">
        <w:t xml:space="preserve">djusted mortality following </w:t>
      </w:r>
      <w:proofErr w:type="spellStart"/>
      <w:r w:rsidR="00FC6653">
        <w:t>Demick</w:t>
      </w:r>
      <w:proofErr w:type="spellEnd"/>
    </w:p>
    <w:p w:rsidR="00DC1365" w:rsidRDefault="00FC6653">
      <w:r>
        <w:t>This method uses the Bayesian logistic hierarchical model with hospital as the grouping factor and adjusting for age, payer, comorbidities, ventilator and year. The hospital level intercept term had a N(0,10) prior distribution</w:t>
      </w:r>
      <w:r w:rsidR="00DC1365">
        <w:t xml:space="preserve"> (for deviations from the average) on the logit scale</w:t>
      </w:r>
      <w:r>
        <w:t xml:space="preserve"> and all other slope parameters had a N(0,2.5) prior distribution. In table 2, we considered both patients nested within both hospital and year. </w:t>
      </w:r>
      <w:r w:rsidR="003516B5">
        <w:t xml:space="preserve">Models were fit in R (v. 3.3.3) using the </w:t>
      </w:r>
      <w:proofErr w:type="spellStart"/>
      <w:r w:rsidR="003516B5">
        <w:t>rstanarm</w:t>
      </w:r>
      <w:proofErr w:type="spellEnd"/>
      <w:r w:rsidR="003516B5">
        <w:t xml:space="preserve"> package (v. 2.15.3)</w:t>
      </w:r>
      <w:r w:rsidR="00DC1365">
        <w:t xml:space="preserve">. 4 runs of 1000 MCMC samples were taken after a 1000 sample burn-in. Convergence of the MCMC runs were verified using </w:t>
      </w:r>
      <w:proofErr w:type="spellStart"/>
      <w:r w:rsidR="00DC1365">
        <w:t>traceplots</w:t>
      </w:r>
      <w:proofErr w:type="spellEnd"/>
      <w:r w:rsidR="00DC1365">
        <w:t xml:space="preserve"> and other statistics. Our results are not sensitive to the choice of prior. </w:t>
      </w:r>
    </w:p>
    <w:p w:rsidR="00FC6653" w:rsidRDefault="00DC1365">
      <w:r>
        <w:t xml:space="preserve">I believe the degree of shrinkage we’re seeing here is reflective of the small numbers of patients we see </w:t>
      </w:r>
      <w:bookmarkStart w:id="0" w:name="_GoBack"/>
      <w:bookmarkEnd w:id="0"/>
      <w:r>
        <w:t xml:space="preserve">at each hospital (median = 7, mean = 9.5). </w:t>
      </w:r>
    </w:p>
    <w:p w:rsidR="00FC6653" w:rsidRDefault="00FC6653">
      <w:r>
        <w:t>Overall:</w:t>
      </w: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955"/>
        <w:gridCol w:w="1273"/>
      </w:tblGrid>
      <w:tr w:rsidR="00FC6653" w:rsidRPr="00FC6653" w:rsidTr="00FC6653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bookmarkStart w:id="1" w:name="Table2"/>
            <w:r w:rsidRPr="00FC6653">
              <w:rPr>
                <w:sz w:val="18"/>
              </w:rPr>
              <w:t>Percentile</w:t>
            </w:r>
          </w:p>
        </w:tc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Mortality Rate</w:t>
            </w:r>
          </w:p>
        </w:tc>
      </w:tr>
      <w:tr w:rsidR="00FC6653" w:rsidRPr="00FC6653" w:rsidTr="00FC6653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0" w:type="auto"/>
            <w:tcBorders>
              <w:top w:val="single" w:sz="6" w:space="0" w:color="008000"/>
            </w:tcBorders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0%</w:t>
            </w:r>
          </w:p>
        </w:tc>
        <w:tc>
          <w:tcPr>
            <w:tcW w:w="0" w:type="auto"/>
            <w:tcBorders>
              <w:top w:val="single" w:sz="6" w:space="0" w:color="008000"/>
            </w:tcBorders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5.68</w:t>
            </w:r>
          </w:p>
        </w:tc>
      </w:tr>
      <w:tr w:rsidR="00FC6653" w:rsidRPr="00FC6653" w:rsidTr="00FC6653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10%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5.81</w:t>
            </w:r>
          </w:p>
        </w:tc>
      </w:tr>
      <w:tr w:rsidR="00FC6653" w:rsidRPr="00FC6653" w:rsidTr="00FC6653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25%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5.83</w:t>
            </w:r>
          </w:p>
        </w:tc>
      </w:tr>
      <w:tr w:rsidR="00FC6653" w:rsidRPr="00FC6653" w:rsidTr="00FC6653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50%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5.85</w:t>
            </w:r>
          </w:p>
        </w:tc>
      </w:tr>
      <w:tr w:rsidR="00FC6653" w:rsidRPr="00FC6653" w:rsidTr="00FC6653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75%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5.87</w:t>
            </w:r>
          </w:p>
        </w:tc>
      </w:tr>
      <w:tr w:rsidR="00FC6653" w:rsidRPr="00FC6653" w:rsidTr="00FC6653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90%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5.90</w:t>
            </w:r>
          </w:p>
        </w:tc>
      </w:tr>
      <w:tr w:rsidR="00FC6653" w:rsidRPr="00FC6653" w:rsidTr="00FC6653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100%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keepNext/>
              <w:jc w:val="right"/>
              <w:rPr>
                <w:sz w:val="18"/>
              </w:rPr>
            </w:pPr>
            <w:r w:rsidRPr="00FC6653">
              <w:rPr>
                <w:sz w:val="18"/>
              </w:rPr>
              <w:t>5.96</w:t>
            </w:r>
          </w:p>
        </w:tc>
      </w:tr>
    </w:tbl>
    <w:bookmarkEnd w:id="1"/>
    <w:p w:rsidR="00FC6653" w:rsidRDefault="00FC6653" w:rsidP="00FC6653">
      <w:pPr>
        <w:pStyle w:val="Caption"/>
      </w:pPr>
      <w:r>
        <w:t xml:space="preserve">Table </w:t>
      </w:r>
      <w:fldSimple w:instr=" SEQ Table \* ARABIC ">
        <w:r w:rsidR="003516B5">
          <w:rPr>
            <w:noProof/>
          </w:rPr>
          <w:t>1</w:t>
        </w:r>
      </w:fldSimple>
    </w:p>
    <w:p w:rsidR="00FC6653" w:rsidRDefault="00FC6653">
      <w:r>
        <w:t>By year:</w:t>
      </w: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955"/>
        <w:gridCol w:w="627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</w:tblGrid>
      <w:tr w:rsidR="00FC6653" w:rsidRPr="00FC6653" w:rsidTr="00FC6653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bookmarkStart w:id="2" w:name="Table3"/>
            <w:r w:rsidRPr="00FC6653">
              <w:rPr>
                <w:sz w:val="18"/>
              </w:rPr>
              <w:t>Percentile</w:t>
            </w:r>
          </w:p>
        </w:tc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2002</w:t>
            </w:r>
          </w:p>
        </w:tc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2003</w:t>
            </w:r>
          </w:p>
        </w:tc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2004</w:t>
            </w:r>
          </w:p>
        </w:tc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2005</w:t>
            </w:r>
          </w:p>
        </w:tc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2006</w:t>
            </w:r>
          </w:p>
        </w:tc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2007</w:t>
            </w:r>
          </w:p>
        </w:tc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2008</w:t>
            </w:r>
          </w:p>
        </w:tc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2009</w:t>
            </w:r>
          </w:p>
        </w:tc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2010</w:t>
            </w:r>
          </w:p>
        </w:tc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2011</w:t>
            </w:r>
          </w:p>
        </w:tc>
      </w:tr>
      <w:tr w:rsidR="00FC6653" w:rsidRPr="00FC6653" w:rsidTr="00FC6653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0" w:type="auto"/>
            <w:tcBorders>
              <w:top w:val="single" w:sz="6" w:space="0" w:color="008000"/>
            </w:tcBorders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0%</w:t>
            </w:r>
          </w:p>
        </w:tc>
        <w:tc>
          <w:tcPr>
            <w:tcW w:w="0" w:type="auto"/>
            <w:tcBorders>
              <w:top w:val="single" w:sz="6" w:space="0" w:color="008000"/>
            </w:tcBorders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 xml:space="preserve"> 9.46</w:t>
            </w:r>
          </w:p>
        </w:tc>
        <w:tc>
          <w:tcPr>
            <w:tcW w:w="0" w:type="auto"/>
            <w:tcBorders>
              <w:top w:val="single" w:sz="6" w:space="0" w:color="008000"/>
            </w:tcBorders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7.91</w:t>
            </w:r>
          </w:p>
        </w:tc>
        <w:tc>
          <w:tcPr>
            <w:tcW w:w="0" w:type="auto"/>
            <w:tcBorders>
              <w:top w:val="single" w:sz="6" w:space="0" w:color="008000"/>
            </w:tcBorders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9.44</w:t>
            </w:r>
          </w:p>
        </w:tc>
        <w:tc>
          <w:tcPr>
            <w:tcW w:w="0" w:type="auto"/>
            <w:tcBorders>
              <w:top w:val="single" w:sz="6" w:space="0" w:color="008000"/>
            </w:tcBorders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6.66</w:t>
            </w:r>
          </w:p>
        </w:tc>
        <w:tc>
          <w:tcPr>
            <w:tcW w:w="0" w:type="auto"/>
            <w:tcBorders>
              <w:top w:val="single" w:sz="6" w:space="0" w:color="008000"/>
            </w:tcBorders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6.81</w:t>
            </w:r>
          </w:p>
        </w:tc>
        <w:tc>
          <w:tcPr>
            <w:tcW w:w="0" w:type="auto"/>
            <w:tcBorders>
              <w:top w:val="single" w:sz="6" w:space="0" w:color="008000"/>
            </w:tcBorders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5.93</w:t>
            </w:r>
          </w:p>
        </w:tc>
        <w:tc>
          <w:tcPr>
            <w:tcW w:w="0" w:type="auto"/>
            <w:tcBorders>
              <w:top w:val="single" w:sz="6" w:space="0" w:color="008000"/>
            </w:tcBorders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5.51</w:t>
            </w:r>
          </w:p>
        </w:tc>
        <w:tc>
          <w:tcPr>
            <w:tcW w:w="0" w:type="auto"/>
            <w:tcBorders>
              <w:top w:val="single" w:sz="6" w:space="0" w:color="008000"/>
            </w:tcBorders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5.24</w:t>
            </w:r>
          </w:p>
        </w:tc>
        <w:tc>
          <w:tcPr>
            <w:tcW w:w="0" w:type="auto"/>
            <w:tcBorders>
              <w:top w:val="single" w:sz="6" w:space="0" w:color="008000"/>
            </w:tcBorders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4.60</w:t>
            </w:r>
          </w:p>
        </w:tc>
        <w:tc>
          <w:tcPr>
            <w:tcW w:w="0" w:type="auto"/>
            <w:tcBorders>
              <w:top w:val="single" w:sz="6" w:space="0" w:color="008000"/>
            </w:tcBorders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4.30</w:t>
            </w:r>
          </w:p>
        </w:tc>
      </w:tr>
      <w:tr w:rsidR="00FC6653" w:rsidRPr="00FC6653" w:rsidTr="00FC6653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10%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 xml:space="preserve"> 9.69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8.10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9.66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6.83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6.98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6.08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5.65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5.38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4.72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4.41</w:t>
            </w:r>
          </w:p>
        </w:tc>
      </w:tr>
      <w:tr w:rsidR="00FC6653" w:rsidRPr="00FC6653" w:rsidTr="00FC6653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25%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 xml:space="preserve"> 9.74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8.14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9.71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6.86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7.01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6.11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5.68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5.40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4.75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4.43</w:t>
            </w:r>
          </w:p>
        </w:tc>
      </w:tr>
      <w:tr w:rsidR="00FC6653" w:rsidRPr="00FC6653" w:rsidTr="00FC6653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50%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 xml:space="preserve"> 9.76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8.17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9.74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6.88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7.03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6.13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5.69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5.42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4.76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4.44</w:t>
            </w:r>
          </w:p>
        </w:tc>
      </w:tr>
      <w:tr w:rsidR="00FC6653" w:rsidRPr="00FC6653" w:rsidTr="00FC6653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75%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 xml:space="preserve"> 9.81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8.20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9.78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6.92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7.07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6.16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5.72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5.44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4.78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4.47</w:t>
            </w:r>
          </w:p>
        </w:tc>
      </w:tr>
      <w:tr w:rsidR="00FC6653" w:rsidRPr="00FC6653" w:rsidTr="00FC6653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90%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 xml:space="preserve"> 9.87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8.26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9.84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6.96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7.11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6.20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5.76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5.48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4.81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4.50</w:t>
            </w:r>
          </w:p>
        </w:tc>
      </w:tr>
      <w:tr w:rsidR="00FC6653" w:rsidRPr="00FC6653" w:rsidTr="00FC6653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100%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10.00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8.37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9.97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7.06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7.21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6.28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5.84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5.56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jc w:val="right"/>
              <w:rPr>
                <w:sz w:val="18"/>
              </w:rPr>
            </w:pPr>
            <w:r w:rsidRPr="00FC6653">
              <w:rPr>
                <w:sz w:val="18"/>
              </w:rPr>
              <w:t>4.88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C6653" w:rsidRPr="00FC6653" w:rsidRDefault="00FC6653" w:rsidP="00FC6653">
            <w:pPr>
              <w:keepNext/>
              <w:jc w:val="right"/>
              <w:rPr>
                <w:sz w:val="18"/>
              </w:rPr>
            </w:pPr>
            <w:r w:rsidRPr="00FC6653">
              <w:rPr>
                <w:sz w:val="18"/>
              </w:rPr>
              <w:t>4.56</w:t>
            </w:r>
          </w:p>
        </w:tc>
      </w:tr>
    </w:tbl>
    <w:bookmarkEnd w:id="2"/>
    <w:p w:rsidR="003516B5" w:rsidRPr="003516B5" w:rsidRDefault="00FC6653" w:rsidP="003516B5">
      <w:pPr>
        <w:pStyle w:val="Caption"/>
      </w:pPr>
      <w:r>
        <w:t xml:space="preserve">Table </w:t>
      </w:r>
      <w:r w:rsidR="003516B5">
        <w:t>2</w:t>
      </w:r>
    </w:p>
    <w:p w:rsidR="00FC6653" w:rsidRDefault="00FC6653"/>
    <w:p w:rsidR="00DC1365" w:rsidRDefault="00DC1365">
      <w:r>
        <w:br w:type="page"/>
      </w:r>
    </w:p>
    <w:p w:rsidR="003516B5" w:rsidRDefault="003516B5">
      <w:r>
        <w:lastRenderedPageBreak/>
        <w:t>Overall mortality using Bayesian hierarchical modeling</w:t>
      </w:r>
    </w:p>
    <w:p w:rsidR="003516B5" w:rsidRDefault="003516B5">
      <w:r>
        <w:t xml:space="preserve">We fit a Bayesian hierarchical model with patients nested in hospital, using only a hospital-level intercept term with a N(0,10) prior distribution. </w:t>
      </w: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308"/>
        <w:gridCol w:w="955"/>
        <w:gridCol w:w="1273"/>
      </w:tblGrid>
      <w:tr w:rsidR="003516B5" w:rsidRPr="003516B5" w:rsidTr="003516B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  <w:vAlign w:val="center"/>
          </w:tcPr>
          <w:p w:rsidR="003516B5" w:rsidRPr="003516B5" w:rsidRDefault="003516B5" w:rsidP="003516B5">
            <w:pPr>
              <w:rPr>
                <w:sz w:val="18"/>
              </w:rPr>
            </w:pPr>
            <w:bookmarkStart w:id="3" w:name="Table4"/>
          </w:p>
        </w:tc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  <w:vAlign w:val="center"/>
          </w:tcPr>
          <w:p w:rsidR="003516B5" w:rsidRPr="003516B5" w:rsidRDefault="003516B5" w:rsidP="003516B5">
            <w:pPr>
              <w:jc w:val="right"/>
              <w:rPr>
                <w:sz w:val="18"/>
              </w:rPr>
            </w:pPr>
            <w:r w:rsidRPr="003516B5">
              <w:rPr>
                <w:sz w:val="18"/>
              </w:rPr>
              <w:t>Percentile</w:t>
            </w:r>
          </w:p>
        </w:tc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  <w:vAlign w:val="center"/>
          </w:tcPr>
          <w:p w:rsidR="003516B5" w:rsidRPr="003516B5" w:rsidRDefault="003516B5" w:rsidP="003516B5">
            <w:pPr>
              <w:jc w:val="right"/>
              <w:rPr>
                <w:sz w:val="18"/>
              </w:rPr>
            </w:pPr>
            <w:r w:rsidRPr="003516B5">
              <w:rPr>
                <w:sz w:val="18"/>
              </w:rPr>
              <w:t>Mortality Rate</w:t>
            </w:r>
          </w:p>
        </w:tc>
      </w:tr>
      <w:tr w:rsidR="003516B5" w:rsidRPr="003516B5" w:rsidTr="003516B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0" w:type="auto"/>
            <w:tcBorders>
              <w:top w:val="single" w:sz="6" w:space="0" w:color="008000"/>
            </w:tcBorders>
            <w:shd w:val="clear" w:color="auto" w:fill="auto"/>
            <w:vAlign w:val="center"/>
          </w:tcPr>
          <w:p w:rsidR="003516B5" w:rsidRPr="003516B5" w:rsidRDefault="003516B5" w:rsidP="003516B5">
            <w:pPr>
              <w:rPr>
                <w:sz w:val="18"/>
              </w:rPr>
            </w:pPr>
            <w:r w:rsidRPr="003516B5">
              <w:rPr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8000"/>
            </w:tcBorders>
            <w:shd w:val="clear" w:color="auto" w:fill="auto"/>
            <w:vAlign w:val="center"/>
          </w:tcPr>
          <w:p w:rsidR="003516B5" w:rsidRPr="003516B5" w:rsidRDefault="003516B5" w:rsidP="003516B5">
            <w:pPr>
              <w:jc w:val="right"/>
              <w:rPr>
                <w:sz w:val="18"/>
              </w:rPr>
            </w:pPr>
            <w:r w:rsidRPr="003516B5">
              <w:rPr>
                <w:sz w:val="18"/>
              </w:rPr>
              <w:t>0%</w:t>
            </w:r>
          </w:p>
        </w:tc>
        <w:tc>
          <w:tcPr>
            <w:tcW w:w="0" w:type="auto"/>
            <w:tcBorders>
              <w:top w:val="single" w:sz="6" w:space="0" w:color="008000"/>
            </w:tcBorders>
            <w:shd w:val="clear" w:color="auto" w:fill="auto"/>
            <w:vAlign w:val="center"/>
          </w:tcPr>
          <w:p w:rsidR="003516B5" w:rsidRPr="003516B5" w:rsidRDefault="003516B5" w:rsidP="003516B5">
            <w:pPr>
              <w:jc w:val="right"/>
              <w:rPr>
                <w:sz w:val="18"/>
              </w:rPr>
            </w:pPr>
            <w:r w:rsidRPr="003516B5">
              <w:rPr>
                <w:sz w:val="18"/>
              </w:rPr>
              <w:t xml:space="preserve"> 9.12</w:t>
            </w:r>
          </w:p>
        </w:tc>
      </w:tr>
      <w:tr w:rsidR="003516B5" w:rsidRPr="003516B5" w:rsidTr="003516B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0" w:type="auto"/>
            <w:shd w:val="clear" w:color="auto" w:fill="auto"/>
            <w:vAlign w:val="center"/>
          </w:tcPr>
          <w:p w:rsidR="003516B5" w:rsidRPr="003516B5" w:rsidRDefault="003516B5" w:rsidP="003516B5">
            <w:pPr>
              <w:rPr>
                <w:sz w:val="18"/>
              </w:rPr>
            </w:pPr>
            <w:r w:rsidRPr="003516B5">
              <w:rPr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516B5" w:rsidRPr="003516B5" w:rsidRDefault="003516B5" w:rsidP="003516B5">
            <w:pPr>
              <w:jc w:val="right"/>
              <w:rPr>
                <w:sz w:val="18"/>
              </w:rPr>
            </w:pPr>
            <w:r w:rsidRPr="003516B5">
              <w:rPr>
                <w:sz w:val="18"/>
              </w:rPr>
              <w:t>10%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516B5" w:rsidRPr="003516B5" w:rsidRDefault="003516B5" w:rsidP="003516B5">
            <w:pPr>
              <w:jc w:val="right"/>
              <w:rPr>
                <w:sz w:val="18"/>
              </w:rPr>
            </w:pPr>
            <w:r w:rsidRPr="003516B5">
              <w:rPr>
                <w:sz w:val="18"/>
              </w:rPr>
              <w:t>10.61</w:t>
            </w:r>
          </w:p>
        </w:tc>
      </w:tr>
      <w:tr w:rsidR="003516B5" w:rsidRPr="003516B5" w:rsidTr="003516B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0" w:type="auto"/>
            <w:shd w:val="clear" w:color="auto" w:fill="auto"/>
            <w:vAlign w:val="center"/>
          </w:tcPr>
          <w:p w:rsidR="003516B5" w:rsidRPr="003516B5" w:rsidRDefault="003516B5" w:rsidP="003516B5">
            <w:pPr>
              <w:rPr>
                <w:sz w:val="18"/>
              </w:rPr>
            </w:pPr>
            <w:r w:rsidRPr="003516B5">
              <w:rPr>
                <w:sz w:val="18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516B5" w:rsidRPr="003516B5" w:rsidRDefault="003516B5" w:rsidP="003516B5">
            <w:pPr>
              <w:jc w:val="right"/>
              <w:rPr>
                <w:sz w:val="18"/>
              </w:rPr>
            </w:pPr>
            <w:r w:rsidRPr="003516B5">
              <w:rPr>
                <w:sz w:val="18"/>
              </w:rPr>
              <w:t>25%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516B5" w:rsidRPr="003516B5" w:rsidRDefault="003516B5" w:rsidP="003516B5">
            <w:pPr>
              <w:jc w:val="right"/>
              <w:rPr>
                <w:sz w:val="18"/>
              </w:rPr>
            </w:pPr>
            <w:r w:rsidRPr="003516B5">
              <w:rPr>
                <w:sz w:val="18"/>
              </w:rPr>
              <w:t>10.78</w:t>
            </w:r>
          </w:p>
        </w:tc>
      </w:tr>
      <w:tr w:rsidR="003516B5" w:rsidRPr="003516B5" w:rsidTr="003516B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0" w:type="auto"/>
            <w:shd w:val="clear" w:color="auto" w:fill="auto"/>
            <w:vAlign w:val="center"/>
          </w:tcPr>
          <w:p w:rsidR="003516B5" w:rsidRPr="003516B5" w:rsidRDefault="003516B5" w:rsidP="003516B5">
            <w:pPr>
              <w:rPr>
                <w:sz w:val="18"/>
              </w:rPr>
            </w:pPr>
            <w:r w:rsidRPr="003516B5">
              <w:rPr>
                <w:sz w:val="18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516B5" w:rsidRPr="003516B5" w:rsidRDefault="003516B5" w:rsidP="003516B5">
            <w:pPr>
              <w:jc w:val="right"/>
              <w:rPr>
                <w:sz w:val="18"/>
              </w:rPr>
            </w:pPr>
            <w:r w:rsidRPr="003516B5">
              <w:rPr>
                <w:sz w:val="18"/>
              </w:rPr>
              <w:t>50%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516B5" w:rsidRPr="003516B5" w:rsidRDefault="003516B5" w:rsidP="003516B5">
            <w:pPr>
              <w:jc w:val="right"/>
              <w:rPr>
                <w:sz w:val="18"/>
              </w:rPr>
            </w:pPr>
            <w:r w:rsidRPr="003516B5">
              <w:rPr>
                <w:sz w:val="18"/>
              </w:rPr>
              <w:t>11.05</w:t>
            </w:r>
          </w:p>
        </w:tc>
      </w:tr>
      <w:tr w:rsidR="003516B5" w:rsidRPr="003516B5" w:rsidTr="003516B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0" w:type="auto"/>
            <w:shd w:val="clear" w:color="auto" w:fill="auto"/>
            <w:vAlign w:val="center"/>
          </w:tcPr>
          <w:p w:rsidR="003516B5" w:rsidRPr="003516B5" w:rsidRDefault="003516B5" w:rsidP="003516B5">
            <w:pPr>
              <w:rPr>
                <w:sz w:val="18"/>
              </w:rPr>
            </w:pPr>
            <w:r w:rsidRPr="003516B5">
              <w:rPr>
                <w:sz w:val="18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516B5" w:rsidRPr="003516B5" w:rsidRDefault="003516B5" w:rsidP="003516B5">
            <w:pPr>
              <w:jc w:val="right"/>
              <w:rPr>
                <w:sz w:val="18"/>
              </w:rPr>
            </w:pPr>
            <w:r w:rsidRPr="003516B5">
              <w:rPr>
                <w:sz w:val="18"/>
              </w:rPr>
              <w:t>75%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516B5" w:rsidRPr="003516B5" w:rsidRDefault="003516B5" w:rsidP="003516B5">
            <w:pPr>
              <w:jc w:val="right"/>
              <w:rPr>
                <w:sz w:val="18"/>
              </w:rPr>
            </w:pPr>
            <w:r w:rsidRPr="003516B5">
              <w:rPr>
                <w:sz w:val="18"/>
              </w:rPr>
              <w:t>11.26</w:t>
            </w:r>
          </w:p>
        </w:tc>
      </w:tr>
      <w:tr w:rsidR="003516B5" w:rsidRPr="003516B5" w:rsidTr="003516B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0" w:type="auto"/>
            <w:shd w:val="clear" w:color="auto" w:fill="auto"/>
            <w:vAlign w:val="center"/>
          </w:tcPr>
          <w:p w:rsidR="003516B5" w:rsidRPr="003516B5" w:rsidRDefault="003516B5" w:rsidP="003516B5">
            <w:pPr>
              <w:rPr>
                <w:sz w:val="18"/>
              </w:rPr>
            </w:pPr>
            <w:r w:rsidRPr="003516B5">
              <w:rPr>
                <w:sz w:val="18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516B5" w:rsidRPr="003516B5" w:rsidRDefault="003516B5" w:rsidP="003516B5">
            <w:pPr>
              <w:jc w:val="right"/>
              <w:rPr>
                <w:sz w:val="18"/>
              </w:rPr>
            </w:pPr>
            <w:r w:rsidRPr="003516B5">
              <w:rPr>
                <w:sz w:val="18"/>
              </w:rPr>
              <w:t>90%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516B5" w:rsidRPr="003516B5" w:rsidRDefault="003516B5" w:rsidP="003516B5">
            <w:pPr>
              <w:jc w:val="right"/>
              <w:rPr>
                <w:sz w:val="18"/>
              </w:rPr>
            </w:pPr>
            <w:r w:rsidRPr="003516B5">
              <w:rPr>
                <w:sz w:val="18"/>
              </w:rPr>
              <w:t>11.74</w:t>
            </w:r>
          </w:p>
        </w:tc>
      </w:tr>
      <w:tr w:rsidR="003516B5" w:rsidRPr="003516B5" w:rsidTr="003516B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0" w:type="auto"/>
            <w:shd w:val="clear" w:color="auto" w:fill="auto"/>
            <w:vAlign w:val="center"/>
          </w:tcPr>
          <w:p w:rsidR="003516B5" w:rsidRPr="003516B5" w:rsidRDefault="003516B5" w:rsidP="003516B5">
            <w:pPr>
              <w:rPr>
                <w:sz w:val="18"/>
              </w:rPr>
            </w:pPr>
            <w:r w:rsidRPr="003516B5">
              <w:rPr>
                <w:sz w:val="18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516B5" w:rsidRPr="003516B5" w:rsidRDefault="003516B5" w:rsidP="003516B5">
            <w:pPr>
              <w:jc w:val="right"/>
              <w:rPr>
                <w:sz w:val="18"/>
              </w:rPr>
            </w:pPr>
            <w:r w:rsidRPr="003516B5">
              <w:rPr>
                <w:sz w:val="18"/>
              </w:rPr>
              <w:t>100%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516B5" w:rsidRPr="003516B5" w:rsidRDefault="003516B5" w:rsidP="003516B5">
            <w:pPr>
              <w:keepNext/>
              <w:jc w:val="right"/>
              <w:rPr>
                <w:sz w:val="18"/>
              </w:rPr>
            </w:pPr>
            <w:r w:rsidRPr="003516B5">
              <w:rPr>
                <w:sz w:val="18"/>
              </w:rPr>
              <w:t>13.26</w:t>
            </w:r>
          </w:p>
        </w:tc>
      </w:tr>
    </w:tbl>
    <w:bookmarkEnd w:id="3"/>
    <w:p w:rsidR="003516B5" w:rsidRDefault="003516B5" w:rsidP="003516B5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</w:p>
    <w:p w:rsidR="003516B5" w:rsidRDefault="003516B5">
      <w:bookmarkStart w:id="4" w:name="R2wdEndmark"/>
      <w:bookmarkEnd w:id="4"/>
    </w:p>
    <w:sectPr w:rsidR="00351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653"/>
    <w:rsid w:val="002A626B"/>
    <w:rsid w:val="003516B5"/>
    <w:rsid w:val="00B629DB"/>
    <w:rsid w:val="00DC1365"/>
    <w:rsid w:val="00FC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D0D33"/>
  <w15:chartTrackingRefBased/>
  <w15:docId w15:val="{D37BE1CD-652F-4E5E-9A65-3CCBA186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C66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Dasgupta, Abhijit (NIH/NIAMS) [C]</dc:creator>
  <cp:keywords/>
  <dc:description/>
  <cp:lastModifiedBy>Dasgupta, Abhijit (NIH/NIAMS) [C]</cp:lastModifiedBy>
  <cp:revision>1</cp:revision>
  <dcterms:created xsi:type="dcterms:W3CDTF">2017-07-07T15:06:00Z</dcterms:created>
  <dcterms:modified xsi:type="dcterms:W3CDTF">2017-07-07T15:38:00Z</dcterms:modified>
</cp:coreProperties>
</file>