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340BA" w:rsidRDefault="00C340BA">
      <w:pPr>
        <w:spacing w:after="160" w:line="480" w:lineRule="auto"/>
        <w:rPr>
          <w:rFonts w:ascii="Times New Roman" w:eastAsia="Times New Roman" w:hAnsi="Times New Roman" w:cs="Times New Roman"/>
          <w:sz w:val="24"/>
          <w:szCs w:val="24"/>
        </w:rPr>
      </w:pPr>
    </w:p>
    <w:p w14:paraId="00000002" w14:textId="77777777" w:rsidR="00C340BA" w:rsidRDefault="00FE3A43">
      <w:pPr>
        <w:spacing w:after="160" w:line="480" w:lineRule="auto"/>
        <w:rPr>
          <w:rFonts w:ascii="Times New Roman" w:eastAsia="Times New Roman" w:hAnsi="Times New Roman" w:cs="Times New Roman"/>
          <w:b/>
          <w:sz w:val="24"/>
          <w:szCs w:val="24"/>
        </w:rPr>
      </w:pPr>
      <w:commentRangeStart w:id="0"/>
      <w:r>
        <w:rPr>
          <w:rFonts w:ascii="Times New Roman" w:eastAsia="Times New Roman" w:hAnsi="Times New Roman" w:cs="Times New Roman"/>
          <w:b/>
          <w:sz w:val="24"/>
          <w:szCs w:val="24"/>
        </w:rPr>
        <w:t>Introduction:</w:t>
      </w:r>
      <w:commentRangeEnd w:id="0"/>
      <w:r w:rsidR="009168B4">
        <w:rPr>
          <w:rStyle w:val="CommentReference"/>
        </w:rPr>
        <w:commentReference w:id="0"/>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exploratory research for the Winter 2024 ISEC 885 course aims to develop a problem direction for a doctoral research idea concept paper, leading to an idea paper, with the ultimate objective of contributing to the field of Asynchronous Consensus and Permission-less Systems</w:t>
      </w:r>
      <w:r>
        <w:rPr>
          <w:rFonts w:ascii="Times New Roman" w:eastAsia="Times New Roman" w:hAnsi="Times New Roman" w:cs="Times New Roman"/>
          <w:b/>
          <w:sz w:val="24"/>
          <w:szCs w:val="24"/>
        </w:rPr>
        <w:t>.</w:t>
      </w:r>
      <w:bookmarkStart w:id="1" w:name="_GoBack"/>
      <w:bookmarkEnd w:id="1"/>
    </w:p>
    <w:p w14:paraId="00000003" w14:textId="77777777" w:rsidR="00C340BA" w:rsidRDefault="00FE3A43">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the realm of network protocols and by abstraction of consensus protocols, the debate between synchronous and asynchronous approaches has been that synchronous protocols operate under the assumption of predictable timing, while asynchronous protocols allow for greater flexibility by not requiring strict timing assumptions. </w:t>
      </w:r>
      <w:commentRangeStart w:id="2"/>
      <w:r>
        <w:rPr>
          <w:rFonts w:ascii="Times New Roman" w:eastAsia="Times New Roman" w:hAnsi="Times New Roman" w:cs="Times New Roman"/>
          <w:sz w:val="24"/>
          <w:szCs w:val="24"/>
        </w:rPr>
        <w:t xml:space="preserve">More specifically, asynchronous consensus ensures that systems can reach an agreement even when there is no bound on the time it takes for messages to be delivered. Not knowing the bound on the time in an asynchronous setting directly contrasts synchronous consensus, which does know its bound on time, along with partially-synchronous consensus, which knows there is a bound on time, but doesn't know what that bound is (Miller et al., 2016). </w:t>
      </w:r>
      <w:commentRangeEnd w:id="2"/>
      <w:r w:rsidR="001E7E70">
        <w:rPr>
          <w:rStyle w:val="CommentReference"/>
        </w:rPr>
        <w:commentReference w:id="2"/>
      </w:r>
      <w:commentRangeStart w:id="3"/>
      <w:r>
        <w:rPr>
          <w:rFonts w:ascii="Times New Roman" w:eastAsia="Times New Roman" w:hAnsi="Times New Roman" w:cs="Times New Roman"/>
          <w:sz w:val="24"/>
          <w:szCs w:val="24"/>
        </w:rPr>
        <w:t>This research favors the asynchronous setting because of its decentralization, instantaneous progress, and resilience to network variability, which are favorable traits in trustless blockchain systems.</w:t>
      </w:r>
      <w:commentRangeEnd w:id="3"/>
      <w:r w:rsidR="00C24C7D">
        <w:rPr>
          <w:rStyle w:val="CommentReference"/>
        </w:rPr>
        <w:commentReference w:id="3"/>
      </w:r>
    </w:p>
    <w:p w14:paraId="00000004" w14:textId="77777777" w:rsidR="00C340BA" w:rsidRDefault="00FE3A43">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4"/>
      <w:r>
        <w:rPr>
          <w:rFonts w:ascii="Times New Roman" w:eastAsia="Times New Roman" w:hAnsi="Times New Roman" w:cs="Times New Roman"/>
          <w:sz w:val="24"/>
          <w:szCs w:val="24"/>
        </w:rPr>
        <w:t xml:space="preserve">Permissioned and permissionless blockchains represent two different paradigms in the realm of distributed ledgers. When it comes to the blockchain trilemma, the advantage of having a permissioned system is that they typically make gains in security and scalability while giving up decentralization. On the other hand, permissionless systems typically have a higher decentralization factor with weaker scalability and security (Woznica &amp; Kedziora, 2022). </w:t>
      </w:r>
      <w:commentRangeEnd w:id="4"/>
      <w:r w:rsidR="00211415">
        <w:rPr>
          <w:rStyle w:val="CommentReference"/>
        </w:rPr>
        <w:commentReference w:id="4"/>
      </w:r>
      <w:commentRangeStart w:id="5"/>
      <w:r>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lastRenderedPageBreak/>
        <w:t>research favors permissionless over permissioned because of its higher decentralization in the blockchain trilemma</w:t>
      </w:r>
      <w:commentRangeEnd w:id="5"/>
      <w:r w:rsidR="00211415">
        <w:rPr>
          <w:rStyle w:val="CommentReference"/>
        </w:rPr>
        <w:commentReference w:id="5"/>
      </w:r>
    </w:p>
    <w:p w14:paraId="00000005" w14:textId="77777777" w:rsidR="00C340BA" w:rsidRDefault="00FE3A43">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6"/>
      <w:r>
        <w:rPr>
          <w:rFonts w:ascii="Times New Roman" w:eastAsia="Times New Roman" w:hAnsi="Times New Roman" w:cs="Times New Roman"/>
          <w:sz w:val="24"/>
          <w:szCs w:val="24"/>
        </w:rPr>
        <w:t>When it comes to asynchronous consensus using permissioned vs permissionless ledgers, the majority of asynchronous consensus research has involved permissioned ledgers. This being that the initial research in the field of asynchronous consensus is implemented with trusted dealers for Distributed Key Generation (DKG) protocols (Abraham et al., 2021; Das et al., 2020). Having a trusted dealer for key generation, and by definition making the blockchain permissioned, has been seen throughout the conception of asynchronous consensus, such as in the initial works of the HoneyBadgerBFT (HBBFT), Beat, Dumbo, and the Asynchronous Byzantine Fault Tolerant (ABFT) protocols (Miller et al., 2016, Duan et al., 2018, Guo et al., 2020, and Knudsen et al., 2021). Although these protocols lay the foundation for the field of asynchronous consensus, they do not enable a fully permission-less system and even call for additional research to advance the field of permission-less asynchronous consensus without trusted dealers (Knudsen et al., 2021).</w:t>
      </w:r>
      <w:commentRangeEnd w:id="6"/>
      <w:r w:rsidR="00211415">
        <w:rPr>
          <w:rStyle w:val="CommentReference"/>
        </w:rPr>
        <w:commentReference w:id="6"/>
      </w:r>
    </w:p>
    <w:p w14:paraId="00000006" w14:textId="77777777" w:rsidR="00C340BA" w:rsidRDefault="00FE3A43">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7"/>
      <w:r>
        <w:rPr>
          <w:rFonts w:ascii="Times New Roman" w:eastAsia="Times New Roman" w:hAnsi="Times New Roman" w:cs="Times New Roman"/>
          <w:sz w:val="24"/>
          <w:szCs w:val="24"/>
        </w:rPr>
        <w:t xml:space="preserve">The lack of asynchronous consensus without a trusted dealer led to the conception of the Aleph protocol (Gągol et al., 2019). </w:t>
      </w:r>
      <w:commentRangeEnd w:id="7"/>
      <w:r w:rsidR="00B56024">
        <w:rPr>
          <w:rStyle w:val="CommentReference"/>
        </w:rPr>
        <w:commentReference w:id="7"/>
      </w:r>
      <w:commentRangeStart w:id="8"/>
      <w:r>
        <w:rPr>
          <w:rFonts w:ascii="Times New Roman" w:eastAsia="Times New Roman" w:hAnsi="Times New Roman" w:cs="Times New Roman"/>
          <w:sz w:val="24"/>
          <w:szCs w:val="24"/>
        </w:rPr>
        <w:t xml:space="preserve">The same way HBBFT touts itself as the first practical asynchronous consensus protocol (Miller et al., 2016). </w:t>
      </w:r>
      <w:commentRangeEnd w:id="8"/>
      <w:r w:rsidR="00B56024">
        <w:rPr>
          <w:rStyle w:val="CommentReference"/>
        </w:rPr>
        <w:commentReference w:id="8"/>
      </w:r>
      <w:commentRangeStart w:id="9"/>
      <w:r>
        <w:rPr>
          <w:rFonts w:ascii="Times New Roman" w:eastAsia="Times New Roman" w:hAnsi="Times New Roman" w:cs="Times New Roman"/>
          <w:sz w:val="24"/>
          <w:szCs w:val="24"/>
        </w:rPr>
        <w:t xml:space="preserve">Aleph touts itself as the first practical asynchronous consensus protocol without a trusted dealer (Gągol et al., 2019). </w:t>
      </w:r>
      <w:commentRangeEnd w:id="9"/>
      <w:r w:rsidR="00B56024">
        <w:rPr>
          <w:rStyle w:val="CommentReference"/>
        </w:rPr>
        <w:commentReference w:id="9"/>
      </w:r>
      <w:commentRangeStart w:id="10"/>
      <w:r>
        <w:rPr>
          <w:rFonts w:ascii="Times New Roman" w:eastAsia="Times New Roman" w:hAnsi="Times New Roman" w:cs="Times New Roman"/>
          <w:sz w:val="24"/>
          <w:szCs w:val="24"/>
        </w:rPr>
        <w:t xml:space="preserve">Aleph not only lacks a trusted dealer to make it permission-less, but also contributes to the field of asynchronous consensus by using a Direct Acyclic Graph (DAG) for consensus instead of sequential Asynchronous Common Subset (ACS), thus providing a theoretical alternative for implementing asynchronous atomic broadcast in lieu of sequentially executing ACS (Guo et al., 2022). </w:t>
      </w:r>
      <w:commentRangeEnd w:id="10"/>
      <w:r w:rsidR="00B56024">
        <w:rPr>
          <w:rStyle w:val="CommentReference"/>
        </w:rPr>
        <w:commentReference w:id="10"/>
      </w:r>
      <w:commentRangeStart w:id="11"/>
      <w:r>
        <w:rPr>
          <w:rFonts w:ascii="Times New Roman" w:eastAsia="Times New Roman" w:hAnsi="Times New Roman" w:cs="Times New Roman"/>
          <w:sz w:val="24"/>
          <w:szCs w:val="24"/>
        </w:rPr>
        <w:t xml:space="preserve">Aleph </w:t>
      </w:r>
      <w:r>
        <w:rPr>
          <w:rFonts w:ascii="Times New Roman" w:eastAsia="Times New Roman" w:hAnsi="Times New Roman" w:cs="Times New Roman"/>
          <w:sz w:val="24"/>
          <w:szCs w:val="24"/>
        </w:rPr>
        <w:lastRenderedPageBreak/>
        <w:t>provides a reputable protocol for this research because it executes consensus asynchronously without giving up its permission-less properties as seen in the past with trusted dealers.</w:t>
      </w:r>
      <w:commentRangeEnd w:id="11"/>
      <w:r w:rsidR="003D3F14">
        <w:rPr>
          <w:rStyle w:val="CommentReference"/>
        </w:rPr>
        <w:commentReference w:id="11"/>
      </w:r>
    </w:p>
    <w:p w14:paraId="00000007" w14:textId="77777777" w:rsidR="00C340BA" w:rsidRDefault="00C340BA">
      <w:pPr>
        <w:spacing w:before="240" w:after="160" w:line="480" w:lineRule="auto"/>
        <w:rPr>
          <w:rFonts w:ascii="Times New Roman" w:eastAsia="Times New Roman" w:hAnsi="Times New Roman" w:cs="Times New Roman"/>
          <w:sz w:val="24"/>
          <w:szCs w:val="24"/>
        </w:rPr>
      </w:pPr>
    </w:p>
    <w:p w14:paraId="00000008" w14:textId="77777777" w:rsidR="00C340BA" w:rsidRDefault="00FE3A43">
      <w:pPr>
        <w:spacing w:before="240" w:after="160" w:line="480" w:lineRule="auto"/>
        <w:rPr>
          <w:rFonts w:ascii="Times New Roman" w:eastAsia="Times New Roman" w:hAnsi="Times New Roman" w:cs="Times New Roman"/>
          <w:sz w:val="24"/>
          <w:szCs w:val="24"/>
        </w:rPr>
      </w:pPr>
      <w:commentRangeStart w:id="12"/>
      <w:r>
        <w:rPr>
          <w:rFonts w:ascii="Times New Roman" w:eastAsia="Times New Roman" w:hAnsi="Times New Roman" w:cs="Times New Roman"/>
          <w:b/>
          <w:sz w:val="24"/>
          <w:szCs w:val="24"/>
        </w:rPr>
        <w:t>Problems:</w:t>
      </w:r>
      <w:r>
        <w:rPr>
          <w:rFonts w:ascii="Times New Roman" w:eastAsia="Times New Roman" w:hAnsi="Times New Roman" w:cs="Times New Roman"/>
          <w:sz w:val="24"/>
          <w:szCs w:val="24"/>
        </w:rPr>
        <w:t xml:space="preserve"> The following three problems will be addressed from the Aleph research.</w:t>
      </w:r>
      <w:commentRangeEnd w:id="12"/>
      <w:r w:rsidR="007F77DB">
        <w:rPr>
          <w:rStyle w:val="CommentReference"/>
        </w:rPr>
        <w:commentReference w:id="12"/>
      </w:r>
    </w:p>
    <w:p w14:paraId="00000009" w14:textId="77777777" w:rsidR="00C340BA" w:rsidRDefault="00FE3A43">
      <w:pPr>
        <w:spacing w:before="240" w:after="140" w:line="480" w:lineRule="auto"/>
        <w:rPr>
          <w:rFonts w:ascii="Times New Roman" w:eastAsia="Times New Roman" w:hAnsi="Times New Roman" w:cs="Times New Roman"/>
          <w:sz w:val="24"/>
          <w:szCs w:val="24"/>
        </w:rPr>
      </w:pPr>
      <w:commentRangeStart w:id="13"/>
      <w:r>
        <w:rPr>
          <w:rFonts w:ascii="Times New Roman" w:eastAsia="Times New Roman" w:hAnsi="Times New Roman" w:cs="Times New Roman"/>
          <w:i/>
          <w:sz w:val="24"/>
          <w:szCs w:val="24"/>
        </w:rPr>
        <w:t>Forking Attack Problem:</w:t>
      </w:r>
      <w:r>
        <w:rPr>
          <w:rFonts w:ascii="Times New Roman" w:eastAsia="Times New Roman" w:hAnsi="Times New Roman" w:cs="Times New Roman"/>
          <w:sz w:val="24"/>
          <w:szCs w:val="24"/>
        </w:rPr>
        <w:t xml:space="preserve"> Malicious nodes can exploit the protocol's reliance on local validation to create a large number of valid but conflicting forks, overwhelming honest nodes and disrupting the network (Guo et al., 2022). This attack is particularly concerning because it is relatively  practical, requiring minimal resources and control by the attacker. Meaning It can be adapted to various DAG-based protocols with different parent requirements.</w:t>
      </w:r>
      <w:commentRangeEnd w:id="13"/>
      <w:r w:rsidR="007F77DB">
        <w:rPr>
          <w:rStyle w:val="CommentReference"/>
        </w:rPr>
        <w:commentReference w:id="13"/>
      </w:r>
      <w:r>
        <w:rPr>
          <w:rFonts w:ascii="Times New Roman" w:eastAsia="Times New Roman" w:hAnsi="Times New Roman" w:cs="Times New Roman"/>
          <w:sz w:val="24"/>
          <w:szCs w:val="24"/>
        </w:rPr>
        <w:tab/>
      </w:r>
    </w:p>
    <w:p w14:paraId="0000000A" w14:textId="77777777" w:rsidR="00C340BA" w:rsidRDefault="00FE3A43">
      <w:pPr>
        <w:spacing w:before="240" w:after="140" w:line="480" w:lineRule="auto"/>
        <w:rPr>
          <w:rFonts w:ascii="Times New Roman" w:eastAsia="Times New Roman" w:hAnsi="Times New Roman" w:cs="Times New Roman"/>
          <w:sz w:val="24"/>
          <w:szCs w:val="24"/>
        </w:rPr>
      </w:pPr>
      <w:commentRangeStart w:id="14"/>
      <w:r>
        <w:rPr>
          <w:rFonts w:ascii="Times New Roman" w:eastAsia="Times New Roman" w:hAnsi="Times New Roman" w:cs="Times New Roman"/>
          <w:i/>
          <w:sz w:val="24"/>
          <w:szCs w:val="24"/>
        </w:rPr>
        <w:t>Scalability of Communication Complexity Problem:</w:t>
      </w:r>
      <w:r>
        <w:rPr>
          <w:rFonts w:ascii="Times New Roman" w:eastAsia="Times New Roman" w:hAnsi="Times New Roman" w:cs="Times New Roman"/>
          <w:sz w:val="24"/>
          <w:szCs w:val="24"/>
        </w:rPr>
        <w:t xml:space="preserve"> The Research mentions that the communication complexity of the reliable broadcast protocol used in Aleph can be improved from N^2 log(N) to N^2 (Guo et al., 2022). This signifies a need for an improvement to its scalability.</w:t>
      </w:r>
      <w:commentRangeEnd w:id="14"/>
      <w:r w:rsidR="0058131B">
        <w:rPr>
          <w:rStyle w:val="CommentReference"/>
        </w:rPr>
        <w:commentReference w:id="14"/>
      </w:r>
    </w:p>
    <w:p w14:paraId="0000000B" w14:textId="77777777" w:rsidR="00C340BA" w:rsidRDefault="00FE3A43">
      <w:pPr>
        <w:spacing w:before="240" w:after="140" w:line="480" w:lineRule="auto"/>
        <w:rPr>
          <w:rFonts w:ascii="Times New Roman" w:eastAsia="Times New Roman" w:hAnsi="Times New Roman" w:cs="Times New Roman"/>
          <w:b/>
          <w:sz w:val="24"/>
          <w:szCs w:val="24"/>
        </w:rPr>
      </w:pPr>
      <w:commentRangeStart w:id="15"/>
      <w:r>
        <w:rPr>
          <w:rFonts w:ascii="Times New Roman" w:eastAsia="Times New Roman" w:hAnsi="Times New Roman" w:cs="Times New Roman"/>
          <w:i/>
          <w:sz w:val="24"/>
          <w:szCs w:val="24"/>
        </w:rPr>
        <w:t>Lack of Proof of Termination Problem:</w:t>
      </w:r>
      <w:r>
        <w:rPr>
          <w:rFonts w:ascii="Times New Roman" w:eastAsia="Times New Roman" w:hAnsi="Times New Roman" w:cs="Times New Roman"/>
          <w:sz w:val="24"/>
          <w:szCs w:val="24"/>
        </w:rPr>
        <w:t xml:space="preserve"> The Reliable Broadcast (RBC) does not include a proof of termination (Guo et al., 2022). Meaning the current Aleph protocol lacks a mechanism to definitively inform nodes when the protocol has finished executing for a specific unit. Not having proof of termination can lead to problems with consistency, efficiency, and security.</w:t>
      </w:r>
      <w:commentRangeEnd w:id="15"/>
      <w:r w:rsidR="0058131B">
        <w:rPr>
          <w:rStyle w:val="CommentReference"/>
        </w:rPr>
        <w:commentReference w:id="15"/>
      </w:r>
    </w:p>
    <w:p w14:paraId="0000000C" w14:textId="77777777" w:rsidR="00C340BA" w:rsidRDefault="00C340BA">
      <w:pPr>
        <w:spacing w:before="240" w:after="140" w:line="480" w:lineRule="auto"/>
        <w:rPr>
          <w:rFonts w:ascii="Times New Roman" w:eastAsia="Times New Roman" w:hAnsi="Times New Roman" w:cs="Times New Roman"/>
          <w:b/>
          <w:sz w:val="24"/>
          <w:szCs w:val="24"/>
        </w:rPr>
      </w:pPr>
    </w:p>
    <w:p w14:paraId="0000000D" w14:textId="77777777" w:rsidR="00C340BA" w:rsidRDefault="00FE3A43">
      <w:pPr>
        <w:spacing w:before="240" w:after="140" w:line="480" w:lineRule="auto"/>
        <w:rPr>
          <w:rFonts w:ascii="Times New Roman" w:eastAsia="Times New Roman" w:hAnsi="Times New Roman" w:cs="Times New Roman"/>
          <w:sz w:val="24"/>
          <w:szCs w:val="24"/>
        </w:rPr>
      </w:pPr>
      <w:commentRangeStart w:id="16"/>
      <w:r>
        <w:rPr>
          <w:rFonts w:ascii="Times New Roman" w:eastAsia="Times New Roman" w:hAnsi="Times New Roman" w:cs="Times New Roman"/>
          <w:b/>
          <w:sz w:val="24"/>
          <w:szCs w:val="24"/>
        </w:rPr>
        <w:t>Goals:</w:t>
      </w:r>
      <w:r>
        <w:rPr>
          <w:rFonts w:ascii="Times New Roman" w:eastAsia="Times New Roman" w:hAnsi="Times New Roman" w:cs="Times New Roman"/>
          <w:sz w:val="24"/>
          <w:szCs w:val="24"/>
        </w:rPr>
        <w:t xml:space="preserve"> The following three goals will be addressed from the Aleph research.</w:t>
      </w:r>
      <w:commentRangeEnd w:id="16"/>
      <w:r w:rsidR="0058131B">
        <w:rPr>
          <w:rStyle w:val="CommentReference"/>
        </w:rPr>
        <w:commentReference w:id="16"/>
      </w:r>
    </w:p>
    <w:p w14:paraId="0000000E" w14:textId="77777777" w:rsidR="00C340BA" w:rsidRDefault="00FE3A43">
      <w:pPr>
        <w:spacing w:before="240" w:after="1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Fork Bomb Goals:</w:t>
      </w:r>
    </w:p>
    <w:p w14:paraId="0000000F" w14:textId="77777777" w:rsidR="00C340BA" w:rsidRDefault="00FE3A43">
      <w:pPr>
        <w:spacing w:before="240" w:after="140" w:line="480" w:lineRule="auto"/>
        <w:rPr>
          <w:rFonts w:ascii="Times New Roman" w:eastAsia="Times New Roman" w:hAnsi="Times New Roman" w:cs="Times New Roman"/>
          <w:sz w:val="24"/>
          <w:szCs w:val="24"/>
        </w:rPr>
      </w:pPr>
      <w:commentRangeStart w:id="17"/>
      <w:r>
        <w:rPr>
          <w:rFonts w:ascii="Times New Roman" w:eastAsia="Times New Roman" w:hAnsi="Times New Roman" w:cs="Times New Roman"/>
          <w:sz w:val="24"/>
          <w:szCs w:val="24"/>
          <w:u w:val="single"/>
        </w:rPr>
        <w:t>Non-local Validation:</w:t>
      </w:r>
      <w:r>
        <w:rPr>
          <w:rFonts w:ascii="Times New Roman" w:eastAsia="Times New Roman" w:hAnsi="Times New Roman" w:cs="Times New Roman"/>
          <w:sz w:val="24"/>
          <w:szCs w:val="24"/>
        </w:rPr>
        <w:t xml:space="preserve"> Implement mechanisms that go beyond local checks and involve communication or information sharing between nodes to verify the validity of units, making it harder for attackers to create valid-looking forks. The Aleph research mentions techniques like other forms of RBC or Verifiable Random Functions (VRFs).</w:t>
      </w:r>
      <w:r>
        <w:rPr>
          <w:rFonts w:ascii="Times New Roman" w:eastAsia="Times New Roman" w:hAnsi="Times New Roman" w:cs="Times New Roman"/>
          <w:sz w:val="24"/>
          <w:szCs w:val="24"/>
        </w:rPr>
        <w:tab/>
      </w:r>
    </w:p>
    <w:p w14:paraId="00000010" w14:textId="77777777" w:rsidR="00C340BA" w:rsidRDefault="00FE3A4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Threshold signatures:</w:t>
      </w:r>
      <w:r>
        <w:rPr>
          <w:rFonts w:ascii="Times New Roman" w:eastAsia="Times New Roman" w:hAnsi="Times New Roman" w:cs="Times New Roman"/>
          <w:sz w:val="24"/>
          <w:szCs w:val="24"/>
        </w:rPr>
        <w:t xml:space="preserve"> Utilize threshold signatures where a unit's validity requires a certain number of honest nodes to sign off on it, making it more difficult for attackers to forge valid forks without compromising a significant portion of the network.</w:t>
      </w:r>
      <w:commentRangeEnd w:id="17"/>
      <w:r w:rsidR="0058131B">
        <w:rPr>
          <w:rStyle w:val="CommentReference"/>
        </w:rPr>
        <w:commentReference w:id="17"/>
      </w:r>
      <w:r>
        <w:rPr>
          <w:rFonts w:ascii="Times New Roman" w:eastAsia="Times New Roman" w:hAnsi="Times New Roman" w:cs="Times New Roman"/>
          <w:sz w:val="24"/>
          <w:szCs w:val="24"/>
        </w:rPr>
        <w:br/>
      </w:r>
    </w:p>
    <w:p w14:paraId="00000011" w14:textId="77777777" w:rsidR="00C340BA" w:rsidRDefault="00FE3A43">
      <w:pPr>
        <w:spacing w:before="240" w:line="480" w:lineRule="auto"/>
        <w:rPr>
          <w:rFonts w:ascii="Times New Roman" w:eastAsia="Times New Roman" w:hAnsi="Times New Roman" w:cs="Times New Roman"/>
          <w:i/>
          <w:sz w:val="24"/>
          <w:szCs w:val="24"/>
        </w:rPr>
      </w:pPr>
      <w:commentRangeStart w:id="18"/>
      <w:r>
        <w:rPr>
          <w:rFonts w:ascii="Times New Roman" w:eastAsia="Times New Roman" w:hAnsi="Times New Roman" w:cs="Times New Roman"/>
          <w:i/>
          <w:sz w:val="24"/>
          <w:szCs w:val="24"/>
        </w:rPr>
        <w:t>Scalability of Communication Complexity Goal:</w:t>
      </w:r>
    </w:p>
    <w:p w14:paraId="00000012" w14:textId="77777777" w:rsidR="00C340BA" w:rsidRDefault="00FE3A4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Employing RSA accumulators:</w:t>
      </w:r>
      <w:r>
        <w:rPr>
          <w:rFonts w:ascii="Times New Roman" w:eastAsia="Times New Roman" w:hAnsi="Times New Roman" w:cs="Times New Roman"/>
          <w:sz w:val="24"/>
          <w:szCs w:val="24"/>
        </w:rPr>
        <w:t xml:space="preserve"> The Aleph research suggests replacing Merkle Trees with RSA accumulators in the RBC protocol to achieve better communication complexity. This could be further investigated and implemented to enhance network performance.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commentRangeEnd w:id="18"/>
      <w:r w:rsidR="0058131B">
        <w:rPr>
          <w:rStyle w:val="CommentReference"/>
        </w:rPr>
        <w:commentReference w:id="18"/>
      </w:r>
    </w:p>
    <w:p w14:paraId="00000013" w14:textId="77777777" w:rsidR="00C340BA" w:rsidRDefault="00FE3A43">
      <w:pPr>
        <w:spacing w:before="240" w:after="240" w:line="480" w:lineRule="auto"/>
        <w:rPr>
          <w:rFonts w:ascii="Times New Roman" w:eastAsia="Times New Roman" w:hAnsi="Times New Roman" w:cs="Times New Roman"/>
          <w:i/>
          <w:sz w:val="24"/>
          <w:szCs w:val="24"/>
        </w:rPr>
      </w:pPr>
      <w:commentRangeStart w:id="19"/>
      <w:r>
        <w:rPr>
          <w:rFonts w:ascii="Times New Roman" w:eastAsia="Times New Roman" w:hAnsi="Times New Roman" w:cs="Times New Roman"/>
          <w:i/>
          <w:sz w:val="24"/>
          <w:szCs w:val="24"/>
        </w:rPr>
        <w:t>Lack of Proof of Termination Goals:</w:t>
      </w:r>
    </w:p>
    <w:p w14:paraId="00000014" w14:textId="77777777" w:rsidR="00C340BA" w:rsidRDefault="00FE3A4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Threshold Signatures for Termination:</w:t>
      </w:r>
      <w:r>
        <w:rPr>
          <w:rFonts w:ascii="Times New Roman" w:eastAsia="Times New Roman" w:hAnsi="Times New Roman" w:cs="Times New Roman"/>
          <w:sz w:val="24"/>
          <w:szCs w:val="24"/>
        </w:rPr>
        <w:t xml:space="preserve"> As mentioned in the research, including a share of a threshold signature for the hash of the final message alongside the commit message could be explored. This would </w:t>
      </w:r>
      <w:r>
        <w:rPr>
          <w:rFonts w:ascii="Times New Roman" w:eastAsia="Times New Roman" w:hAnsi="Times New Roman" w:cs="Times New Roman"/>
          <w:sz w:val="24"/>
          <w:szCs w:val="24"/>
        </w:rPr>
        <w:tab/>
        <w:t xml:space="preserve">allow nodes to gather the required signatures and confirm the </w:t>
      </w:r>
      <w:r>
        <w:rPr>
          <w:rFonts w:ascii="Times New Roman" w:eastAsia="Times New Roman" w:hAnsi="Times New Roman" w:cs="Times New Roman"/>
          <w:sz w:val="24"/>
          <w:szCs w:val="24"/>
        </w:rPr>
        <w:tab/>
        <w:t xml:space="preserve">protocol's termination for a particular unit. </w:t>
      </w:r>
      <w:r>
        <w:rPr>
          <w:rFonts w:ascii="Times New Roman" w:eastAsia="Times New Roman" w:hAnsi="Times New Roman" w:cs="Times New Roman"/>
          <w:sz w:val="24"/>
          <w:szCs w:val="24"/>
        </w:rPr>
        <w:tab/>
      </w:r>
    </w:p>
    <w:p w14:paraId="00000015" w14:textId="77777777" w:rsidR="00C340BA" w:rsidRDefault="00FE3A43">
      <w:pPr>
        <w:spacing w:before="24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u w:val="single"/>
        </w:rPr>
        <w:lastRenderedPageBreak/>
        <w:t>Reputation Systems:</w:t>
      </w:r>
      <w:r>
        <w:rPr>
          <w:rFonts w:ascii="Times New Roman" w:eastAsia="Times New Roman" w:hAnsi="Times New Roman" w:cs="Times New Roman"/>
          <w:sz w:val="24"/>
          <w:szCs w:val="24"/>
        </w:rPr>
        <w:t xml:space="preserve"> Implement mechanisms that track node behavior and penalize malicious </w:t>
      </w:r>
      <w:r>
        <w:rPr>
          <w:rFonts w:ascii="Times New Roman" w:eastAsia="Times New Roman" w:hAnsi="Times New Roman" w:cs="Times New Roman"/>
          <w:sz w:val="24"/>
          <w:szCs w:val="24"/>
        </w:rPr>
        <w:tab/>
        <w:t>actors, deterring them from launching fork attacks.</w:t>
      </w:r>
      <w:r>
        <w:rPr>
          <w:rFonts w:ascii="Times New Roman" w:eastAsia="Times New Roman" w:hAnsi="Times New Roman" w:cs="Times New Roman"/>
          <w:sz w:val="24"/>
          <w:szCs w:val="24"/>
        </w:rPr>
        <w:tab/>
      </w:r>
      <w:commentRangeEnd w:id="19"/>
      <w:r w:rsidR="009168B4">
        <w:rPr>
          <w:rStyle w:val="CommentReference"/>
        </w:rPr>
        <w:commentReference w:id="19"/>
      </w:r>
    </w:p>
    <w:p w14:paraId="00000016" w14:textId="77777777" w:rsidR="00C340BA" w:rsidRDefault="00C340BA">
      <w:pPr>
        <w:spacing w:before="240" w:after="240" w:line="480" w:lineRule="auto"/>
        <w:rPr>
          <w:rFonts w:ascii="Times New Roman" w:eastAsia="Times New Roman" w:hAnsi="Times New Roman" w:cs="Times New Roman"/>
          <w:b/>
          <w:sz w:val="24"/>
          <w:szCs w:val="24"/>
          <w:u w:val="single"/>
        </w:rPr>
      </w:pPr>
    </w:p>
    <w:p w14:paraId="00000017" w14:textId="77777777" w:rsidR="00C340BA" w:rsidRDefault="00FE3A43">
      <w:pPr>
        <w:spacing w:before="24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u w:val="single"/>
        </w:rPr>
        <w:br/>
      </w:r>
    </w:p>
    <w:p w14:paraId="00000018" w14:textId="77777777" w:rsidR="00C340BA" w:rsidRDefault="00FE3A43">
      <w:pPr>
        <w:spacing w:before="240" w:after="16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u w:val="single"/>
        </w:rPr>
        <w:br/>
      </w:r>
    </w:p>
    <w:p w14:paraId="00000019" w14:textId="77777777" w:rsidR="00C340BA" w:rsidRDefault="00FE3A43">
      <w:pPr>
        <w:spacing w:before="240" w:after="16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u w:val="single"/>
        </w:rPr>
        <w:br/>
      </w:r>
    </w:p>
    <w:p w14:paraId="0000001A" w14:textId="77777777" w:rsidR="00C340BA" w:rsidRDefault="00FE3A43">
      <w:pPr>
        <w:spacing w:before="240" w:after="16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u w:val="single"/>
        </w:rPr>
        <w:br/>
      </w:r>
    </w:p>
    <w:p w14:paraId="0000001B" w14:textId="77777777" w:rsidR="00C340BA" w:rsidRDefault="00FE3A43">
      <w:pPr>
        <w:spacing w:before="240" w:after="16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u w:val="single"/>
        </w:rPr>
        <w:br/>
      </w:r>
    </w:p>
    <w:p w14:paraId="0000001C" w14:textId="77777777" w:rsidR="00C340BA" w:rsidRDefault="00C340BA">
      <w:pPr>
        <w:spacing w:before="240" w:after="160" w:line="480" w:lineRule="auto"/>
        <w:rPr>
          <w:rFonts w:ascii="Times New Roman" w:eastAsia="Times New Roman" w:hAnsi="Times New Roman" w:cs="Times New Roman"/>
          <w:b/>
          <w:sz w:val="24"/>
          <w:szCs w:val="24"/>
          <w:u w:val="single"/>
        </w:rPr>
      </w:pPr>
    </w:p>
    <w:p w14:paraId="0000001D" w14:textId="77777777" w:rsidR="00C340BA" w:rsidRDefault="00FE3A43">
      <w:pPr>
        <w:spacing w:before="240"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1E" w14:textId="77777777" w:rsidR="00C340BA" w:rsidRDefault="00FE3A43">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Abraham, I., Jovanovic, P., Maller, M., Meiklejohn, S., Stern, G., &amp; Tomescu, A. (2021). Reaching consensus for asynchronous distributed key generation. In </w:t>
      </w:r>
      <w:r>
        <w:rPr>
          <w:rFonts w:ascii="Times New Roman" w:eastAsia="Times New Roman" w:hAnsi="Times New Roman" w:cs="Times New Roman"/>
          <w:i/>
          <w:sz w:val="24"/>
          <w:szCs w:val="24"/>
        </w:rPr>
        <w:t>Proceedings of the 2021 ACM Symposium on Principles of Distributed Computing</w:t>
      </w:r>
      <w:r>
        <w:rPr>
          <w:rFonts w:ascii="Times New Roman" w:eastAsia="Times New Roman" w:hAnsi="Times New Roman" w:cs="Times New Roman"/>
          <w:sz w:val="24"/>
          <w:szCs w:val="24"/>
        </w:rPr>
        <w:t xml:space="preserve"> (pp. 363–373).</w:t>
      </w:r>
    </w:p>
    <w:p w14:paraId="0000001F" w14:textId="77777777" w:rsidR="00C340BA" w:rsidRDefault="00FE3A4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Adam Gągol, Damian Leśniak, Damian Straszak, and Michał Świętek. (2019). Aleph: Efficient Atomic Broadcast in Asynchronous Networks with Byzantine Nodes. In </w:t>
      </w:r>
      <w:r>
        <w:rPr>
          <w:rFonts w:ascii="Times New Roman" w:eastAsia="Times New Roman" w:hAnsi="Times New Roman" w:cs="Times New Roman"/>
          <w:i/>
          <w:sz w:val="24"/>
          <w:szCs w:val="24"/>
        </w:rPr>
        <w:t>Proceedings of the 1st ACM Conference on Advances in Financial Technologies</w:t>
      </w:r>
      <w:r>
        <w:rPr>
          <w:rFonts w:ascii="Times New Roman" w:eastAsia="Times New Roman" w:hAnsi="Times New Roman" w:cs="Times New Roman"/>
          <w:sz w:val="24"/>
          <w:szCs w:val="24"/>
        </w:rPr>
        <w:t xml:space="preserve"> (pp. 214–228).</w:t>
      </w:r>
    </w:p>
    <w:p w14:paraId="00000020" w14:textId="77777777" w:rsidR="00C340BA" w:rsidRDefault="00FE3A4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Baird, L., &amp; Luykx, A. (2020). The Hashgraph Protocol: Efficient Asynchronous BFT for High-Throughput Distributed Ledgers. </w:t>
      </w:r>
      <w:r>
        <w:rPr>
          <w:rFonts w:ascii="Times New Roman" w:eastAsia="Times New Roman" w:hAnsi="Times New Roman" w:cs="Times New Roman"/>
          <w:i/>
          <w:sz w:val="24"/>
          <w:szCs w:val="24"/>
        </w:rPr>
        <w:t>International Conference on Omni-layer Intelligent Systems</w:t>
      </w:r>
      <w:r>
        <w:rPr>
          <w:rFonts w:ascii="Times New Roman" w:eastAsia="Times New Roman" w:hAnsi="Times New Roman" w:cs="Times New Roman"/>
          <w:sz w:val="24"/>
          <w:szCs w:val="24"/>
        </w:rPr>
        <w:t xml:space="preserve"> (pp. 1-7).</w:t>
      </w:r>
      <w:hyperlink r:id="rId9">
        <w:r>
          <w:rPr>
            <w:rFonts w:ascii="Times New Roman" w:eastAsia="Times New Roman" w:hAnsi="Times New Roman" w:cs="Times New Roman"/>
            <w:sz w:val="24"/>
            <w:szCs w:val="24"/>
          </w:rPr>
          <w:t xml:space="preserve"> </w:t>
        </w:r>
      </w:hyperlink>
      <w:hyperlink r:id="rId10">
        <w:r>
          <w:rPr>
            <w:rFonts w:ascii="Times New Roman" w:eastAsia="Times New Roman" w:hAnsi="Times New Roman" w:cs="Times New Roman"/>
            <w:color w:val="1155CC"/>
            <w:sz w:val="24"/>
            <w:szCs w:val="24"/>
            <w:u w:val="single"/>
          </w:rPr>
          <w:t>https://doi.org/10.1109/COINS49042.2020.9191430</w:t>
        </w:r>
      </w:hyperlink>
    </w:p>
    <w:p w14:paraId="00000021" w14:textId="77777777" w:rsidR="00C340BA" w:rsidRDefault="00FE3A4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Boldyreva, A. (2002). Threshold signatures, multisignatures and blind signatures based on the gap-diffie-hellman-group signature scheme. In </w:t>
      </w:r>
      <w:r>
        <w:rPr>
          <w:rFonts w:ascii="Times New Roman" w:eastAsia="Times New Roman" w:hAnsi="Times New Roman" w:cs="Times New Roman"/>
          <w:i/>
          <w:sz w:val="24"/>
          <w:szCs w:val="24"/>
        </w:rPr>
        <w:t>Public key cryptography–PKC 2003</w:t>
      </w:r>
      <w:r>
        <w:rPr>
          <w:rFonts w:ascii="Times New Roman" w:eastAsia="Times New Roman" w:hAnsi="Times New Roman" w:cs="Times New Roman"/>
          <w:sz w:val="24"/>
          <w:szCs w:val="24"/>
        </w:rPr>
        <w:t xml:space="preserve"> (pp. 31–46). Springer.</w:t>
      </w:r>
    </w:p>
    <w:p w14:paraId="00000022" w14:textId="77777777" w:rsidR="00C340BA" w:rsidRDefault="00FE3A4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Das, S., Xiang, Z., &amp; Ren, L. (2020). Asynchronous data dissemination and its applications. In </w:t>
      </w:r>
      <w:r>
        <w:rPr>
          <w:rFonts w:ascii="Times New Roman" w:eastAsia="Times New Roman" w:hAnsi="Times New Roman" w:cs="Times New Roman"/>
          <w:i/>
          <w:sz w:val="24"/>
          <w:szCs w:val="24"/>
        </w:rPr>
        <w:t>Proceedings of the 2021 ACM SIGSAC Conference on Computer and Communications Security</w:t>
      </w:r>
      <w:r>
        <w:rPr>
          <w:rFonts w:ascii="Times New Roman" w:eastAsia="Times New Roman" w:hAnsi="Times New Roman" w:cs="Times New Roman"/>
          <w:sz w:val="24"/>
          <w:szCs w:val="24"/>
        </w:rPr>
        <w:t>.</w:t>
      </w:r>
    </w:p>
    <w:p w14:paraId="00000023" w14:textId="77777777" w:rsidR="00C340BA" w:rsidRDefault="00FE3A4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Djari, A., Anceaume, E., &amp; Tucci-Piergiovanni, S. (2022). An extensive agent-based simulation study of sycomore++, a DAG-based permissionless ledger. In </w:t>
      </w:r>
      <w:r>
        <w:rPr>
          <w:rFonts w:ascii="Times New Roman" w:eastAsia="Times New Roman" w:hAnsi="Times New Roman" w:cs="Times New Roman"/>
          <w:i/>
          <w:sz w:val="24"/>
          <w:szCs w:val="24"/>
        </w:rPr>
        <w:t>Proceedings of the 37th ACM/SIGAPP Symposium on Applied Computing</w:t>
      </w:r>
      <w:r>
        <w:rPr>
          <w:rFonts w:ascii="Times New Roman" w:eastAsia="Times New Roman" w:hAnsi="Times New Roman" w:cs="Times New Roman"/>
          <w:sz w:val="24"/>
          <w:szCs w:val="24"/>
        </w:rPr>
        <w:t xml:space="preserve"> (pp. 334–336). Association for Computing Machinery.</w:t>
      </w:r>
      <w:hyperlink r:id="rId11">
        <w:r>
          <w:rPr>
            <w:rFonts w:ascii="Times New Roman" w:eastAsia="Times New Roman" w:hAnsi="Times New Roman" w:cs="Times New Roman"/>
            <w:sz w:val="24"/>
            <w:szCs w:val="24"/>
          </w:rPr>
          <w:t xml:space="preserve"> </w:t>
        </w:r>
      </w:hyperlink>
      <w:hyperlink r:id="rId12">
        <w:r>
          <w:rPr>
            <w:rFonts w:ascii="Times New Roman" w:eastAsia="Times New Roman" w:hAnsi="Times New Roman" w:cs="Times New Roman"/>
            <w:color w:val="1155CC"/>
            <w:sz w:val="24"/>
            <w:szCs w:val="24"/>
            <w:u w:val="single"/>
          </w:rPr>
          <w:t>https://doi-org.ezproxylocal.library.nova.edu/10.1145/3477314.3507245</w:t>
        </w:r>
      </w:hyperlink>
    </w:p>
    <w:p w14:paraId="00000024" w14:textId="77777777" w:rsidR="00C340BA" w:rsidRDefault="00FE3A4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Duan, S., Reiter, M., &amp; Zhang, H. (2018). Beat: Asynchronous BFT Made Practical. In </w:t>
      </w:r>
      <w:r>
        <w:rPr>
          <w:rFonts w:ascii="Times New Roman" w:eastAsia="Times New Roman" w:hAnsi="Times New Roman" w:cs="Times New Roman"/>
          <w:i/>
          <w:sz w:val="24"/>
          <w:szCs w:val="24"/>
        </w:rPr>
        <w:t>ACM SIGSAC Conference on Computer and Communications Security</w:t>
      </w:r>
      <w:r>
        <w:rPr>
          <w:rFonts w:ascii="Times New Roman" w:eastAsia="Times New Roman" w:hAnsi="Times New Roman" w:cs="Times New Roman"/>
          <w:sz w:val="24"/>
          <w:szCs w:val="24"/>
        </w:rPr>
        <w:t xml:space="preserve"> (pp. 2028–2041).</w:t>
      </w:r>
      <w:hyperlink r:id="rId13">
        <w:r>
          <w:rPr>
            <w:rFonts w:ascii="Times New Roman" w:eastAsia="Times New Roman" w:hAnsi="Times New Roman" w:cs="Times New Roman"/>
            <w:sz w:val="24"/>
            <w:szCs w:val="24"/>
          </w:rPr>
          <w:t xml:space="preserve"> </w:t>
        </w:r>
      </w:hyperlink>
      <w:hyperlink r:id="rId14">
        <w:r>
          <w:rPr>
            <w:rFonts w:ascii="Times New Roman" w:eastAsia="Times New Roman" w:hAnsi="Times New Roman" w:cs="Times New Roman"/>
            <w:color w:val="1155CC"/>
            <w:sz w:val="24"/>
            <w:szCs w:val="24"/>
            <w:u w:val="single"/>
          </w:rPr>
          <w:t>https://doi.org/10.1145/3243734.3243812</w:t>
        </w:r>
      </w:hyperlink>
    </w:p>
    <w:p w14:paraId="00000025" w14:textId="77777777" w:rsidR="00C340BA" w:rsidRDefault="00FE3A4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Fischer, M. J., Lynch, N. A., &amp; Paterson, M. S. (1982). Impossibility of distributed consensus with one faulty process (Technical Report No. MIT/LCS/TR-728). Massachusetts Institute of Technology, Laboratory for Computer Science, Cambridge.</w:t>
      </w:r>
    </w:p>
    <w:p w14:paraId="00000026" w14:textId="77777777" w:rsidR="00C340BA" w:rsidRDefault="00FE3A4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Gao, Y., Lu, Y., Lu, Z., Tang, Q., Xu, J., &amp; Zhang, Z. (2022). Dumbo-NG: Fast Asynchronous BFT Consensus with Throughput-Oblivious Latency. In </w:t>
      </w:r>
      <w:r>
        <w:rPr>
          <w:rFonts w:ascii="Times New Roman" w:eastAsia="Times New Roman" w:hAnsi="Times New Roman" w:cs="Times New Roman"/>
          <w:i/>
          <w:sz w:val="24"/>
          <w:szCs w:val="24"/>
        </w:rPr>
        <w:t>Proceedings of the 2022 ACM SIGSAC Conference on Computer and Communications Security (CCS '22)</w:t>
      </w:r>
      <w:r>
        <w:rPr>
          <w:rFonts w:ascii="Times New Roman" w:eastAsia="Times New Roman" w:hAnsi="Times New Roman" w:cs="Times New Roman"/>
          <w:sz w:val="24"/>
          <w:szCs w:val="24"/>
        </w:rPr>
        <w:t xml:space="preserve"> (p. 1187–1201). Association for Computing Machinery.</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1155CC"/>
            <w:sz w:val="24"/>
            <w:szCs w:val="24"/>
            <w:u w:val="single"/>
          </w:rPr>
          <w:t>https://doi.org/10.1145/3548606.3559379</w:t>
        </w:r>
      </w:hyperlink>
    </w:p>
    <w:p w14:paraId="00000027" w14:textId="77777777" w:rsidR="00C340BA" w:rsidRDefault="00FE3A4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Gennaro, R., Jarecki, S., Krawczyk, H., &amp; Rabin, T. (2003). Secure Applications of Pedersen’s Distributed Key Generation Protocol. In </w:t>
      </w:r>
      <w:r>
        <w:rPr>
          <w:rFonts w:ascii="Times New Roman" w:eastAsia="Times New Roman" w:hAnsi="Times New Roman" w:cs="Times New Roman"/>
          <w:i/>
          <w:sz w:val="24"/>
          <w:szCs w:val="24"/>
        </w:rPr>
        <w:t>Topics in Cryptology - CT-RSA 2003, The Cryptographers’ Track at the RSA Conference 2003, San Francisco, CA, USA, April 13-17, 2003, Proceedings</w:t>
      </w:r>
      <w:r>
        <w:rPr>
          <w:rFonts w:ascii="Times New Roman" w:eastAsia="Times New Roman" w:hAnsi="Times New Roman" w:cs="Times New Roman"/>
          <w:sz w:val="24"/>
          <w:szCs w:val="24"/>
        </w:rPr>
        <w:t xml:space="preserve"> (pp. 373–390).</w:t>
      </w:r>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color w:val="1155CC"/>
            <w:sz w:val="24"/>
            <w:szCs w:val="24"/>
            <w:u w:val="single"/>
          </w:rPr>
          <w:t>https://doi.org/10.1007/3-540-36563-X_26</w:t>
        </w:r>
      </w:hyperlink>
    </w:p>
    <w:p w14:paraId="00000028" w14:textId="77777777" w:rsidR="00C340BA" w:rsidRDefault="00FE3A4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Gennaro, R., Jarecki, S., Krawczyk, H., &amp; Rabin, T. (2007). Secure Distributed Key Generation for Discrete-Log Based Cryptosystems. </w:t>
      </w:r>
      <w:r>
        <w:rPr>
          <w:rFonts w:ascii="Times New Roman" w:eastAsia="Times New Roman" w:hAnsi="Times New Roman" w:cs="Times New Roman"/>
          <w:i/>
          <w:sz w:val="24"/>
          <w:szCs w:val="24"/>
        </w:rPr>
        <w:t>Journal of Cryptology, 20</w:t>
      </w:r>
      <w:r>
        <w:rPr>
          <w:rFonts w:ascii="Times New Roman" w:eastAsia="Times New Roman" w:hAnsi="Times New Roman" w:cs="Times New Roman"/>
          <w:sz w:val="24"/>
          <w:szCs w:val="24"/>
        </w:rPr>
        <w:t>(1), 51–83.</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1155CC"/>
            <w:sz w:val="24"/>
            <w:szCs w:val="24"/>
            <w:u w:val="single"/>
          </w:rPr>
          <w:t>https://doi.org/10.1007/s00145-006-0347-3</w:t>
        </w:r>
      </w:hyperlink>
    </w:p>
    <w:p w14:paraId="00000029" w14:textId="77777777" w:rsidR="00C340BA" w:rsidRDefault="00FE3A4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Guo, B., Lu, Z., Tang, Q., Xu, J., &amp; Zhang, Z. (2020). Dumbo: Faster Asynchronous BFT Protocols. In </w:t>
      </w:r>
      <w:r>
        <w:rPr>
          <w:rFonts w:ascii="Times New Roman" w:eastAsia="Times New Roman" w:hAnsi="Times New Roman" w:cs="Times New Roman"/>
          <w:i/>
          <w:sz w:val="24"/>
          <w:szCs w:val="24"/>
        </w:rPr>
        <w:t>Proceedings of the 2020 ACM SIGSAC Conference on Computer and Communications Security (CCS '20)</w:t>
      </w:r>
      <w:r>
        <w:rPr>
          <w:rFonts w:ascii="Times New Roman" w:eastAsia="Times New Roman" w:hAnsi="Times New Roman" w:cs="Times New Roman"/>
          <w:sz w:val="24"/>
          <w:szCs w:val="24"/>
        </w:rPr>
        <w:t xml:space="preserve"> (pp. 803–818). Association for Computing Machinery.</w:t>
      </w:r>
      <w:hyperlink r:id="rId21">
        <w:r>
          <w:rPr>
            <w:rFonts w:ascii="Times New Roman" w:eastAsia="Times New Roman" w:hAnsi="Times New Roman" w:cs="Times New Roman"/>
            <w:sz w:val="24"/>
            <w:szCs w:val="24"/>
          </w:rPr>
          <w:t xml:space="preserve"> </w:t>
        </w:r>
      </w:hyperlink>
      <w:hyperlink r:id="rId22">
        <w:r>
          <w:rPr>
            <w:rFonts w:ascii="Times New Roman" w:eastAsia="Times New Roman" w:hAnsi="Times New Roman" w:cs="Times New Roman"/>
            <w:color w:val="1155CC"/>
            <w:sz w:val="24"/>
            <w:szCs w:val="24"/>
            <w:u w:val="single"/>
          </w:rPr>
          <w:t>https://doi.org/10.1145/3372297.3417262</w:t>
        </w:r>
      </w:hyperlink>
    </w:p>
    <w:p w14:paraId="0000002A" w14:textId="77777777" w:rsidR="00C340BA" w:rsidRDefault="00FE3A4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Guo, B., Lu, Y., Lu, Z., Tang, Q., Xu, J., &amp; Zhang, Z. (2022). Speeding Dumbo: Pushing Asynchronous BFT Closer to Practice. doi:10.14722/ndss.2022.24385</w:t>
      </w:r>
    </w:p>
    <w:p w14:paraId="0000002B" w14:textId="77777777" w:rsidR="00C340BA" w:rsidRDefault="00FE3A4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Hood, K., Oglio, J., Nesterenko, M., &amp; Sharma, G. (2021). Partitionable Asynchronous Cryptocurrency Blockchain. </w:t>
      </w:r>
      <w:r>
        <w:rPr>
          <w:rFonts w:ascii="Times New Roman" w:eastAsia="Times New Roman" w:hAnsi="Times New Roman" w:cs="Times New Roman"/>
          <w:i/>
          <w:sz w:val="24"/>
          <w:szCs w:val="24"/>
        </w:rPr>
        <w:t>IEEE International Conference on Blockchain and Cryptocurrency</w:t>
      </w:r>
      <w:r>
        <w:rPr>
          <w:rFonts w:ascii="Times New Roman" w:eastAsia="Times New Roman" w:hAnsi="Times New Roman" w:cs="Times New Roman"/>
          <w:sz w:val="24"/>
          <w:szCs w:val="24"/>
        </w:rPr>
        <w:t xml:space="preserve"> (pp. 1-9).</w:t>
      </w:r>
      <w:hyperlink r:id="rId23">
        <w:r>
          <w:rPr>
            <w:rFonts w:ascii="Times New Roman" w:eastAsia="Times New Roman" w:hAnsi="Times New Roman" w:cs="Times New Roman"/>
            <w:sz w:val="24"/>
            <w:szCs w:val="24"/>
          </w:rPr>
          <w:t xml:space="preserve"> </w:t>
        </w:r>
      </w:hyperlink>
      <w:hyperlink r:id="rId24">
        <w:r>
          <w:rPr>
            <w:rFonts w:ascii="Times New Roman" w:eastAsia="Times New Roman" w:hAnsi="Times New Roman" w:cs="Times New Roman"/>
            <w:color w:val="1155CC"/>
            <w:sz w:val="24"/>
            <w:szCs w:val="24"/>
            <w:u w:val="single"/>
          </w:rPr>
          <w:t>https://doi.org/10.1109/ICBC51069.2021.9461080</w:t>
        </w:r>
      </w:hyperlink>
    </w:p>
    <w:p w14:paraId="0000002C" w14:textId="77777777" w:rsidR="00C340BA" w:rsidRDefault="00FE3A4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Kogias, E. K., Malkhi, D., &amp; Spiegelman, A. (2020). Asynchronous Distributed Key Generation for Computationally-Secure Randomness, Consensus, and Threshold Signatures. In </w:t>
      </w:r>
      <w:r>
        <w:rPr>
          <w:rFonts w:ascii="Times New Roman" w:eastAsia="Times New Roman" w:hAnsi="Times New Roman" w:cs="Times New Roman"/>
          <w:i/>
          <w:sz w:val="24"/>
          <w:szCs w:val="24"/>
        </w:rPr>
        <w:t>Proceedings of the 2020 ACM SIGSAC Conference on Computer and Communications Security (CCS '20)</w:t>
      </w:r>
      <w:r>
        <w:rPr>
          <w:rFonts w:ascii="Times New Roman" w:eastAsia="Times New Roman" w:hAnsi="Times New Roman" w:cs="Times New Roman"/>
          <w:sz w:val="24"/>
          <w:szCs w:val="24"/>
        </w:rPr>
        <w:t xml:space="preserve"> (pp. 1751–1767). Association for Computing Machinery.</w:t>
      </w:r>
      <w:hyperlink r:id="rId25">
        <w:r>
          <w:rPr>
            <w:rFonts w:ascii="Times New Roman" w:eastAsia="Times New Roman" w:hAnsi="Times New Roman" w:cs="Times New Roman"/>
            <w:sz w:val="24"/>
            <w:szCs w:val="24"/>
          </w:rPr>
          <w:t xml:space="preserve"> </w:t>
        </w:r>
      </w:hyperlink>
      <w:hyperlink r:id="rId26">
        <w:r>
          <w:rPr>
            <w:rFonts w:ascii="Times New Roman" w:eastAsia="Times New Roman" w:hAnsi="Times New Roman" w:cs="Times New Roman"/>
            <w:color w:val="1155CC"/>
            <w:sz w:val="24"/>
            <w:szCs w:val="24"/>
            <w:u w:val="single"/>
          </w:rPr>
          <w:t>https://doi.org/10.1145/3372297.3423364</w:t>
        </w:r>
      </w:hyperlink>
    </w:p>
    <w:p w14:paraId="0000002D" w14:textId="77777777" w:rsidR="00C340BA" w:rsidRDefault="00FE3A4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Knudsen, H., Li, J., Notland, J., Haro, P., &amp; Ræder, T. (2021). High-Performance Asynchronous Byzantine Fault Tolerance Consensus Protocol. </w:t>
      </w:r>
      <w:r>
        <w:rPr>
          <w:rFonts w:ascii="Times New Roman" w:eastAsia="Times New Roman" w:hAnsi="Times New Roman" w:cs="Times New Roman"/>
          <w:i/>
          <w:sz w:val="24"/>
          <w:szCs w:val="24"/>
        </w:rPr>
        <w:t>IEEE International Conference on Blockchain</w:t>
      </w:r>
      <w:r>
        <w:rPr>
          <w:rFonts w:ascii="Times New Roman" w:eastAsia="Times New Roman" w:hAnsi="Times New Roman" w:cs="Times New Roman"/>
          <w:sz w:val="24"/>
          <w:szCs w:val="24"/>
        </w:rPr>
        <w:t xml:space="preserve"> (pp. 476-483).</w:t>
      </w:r>
      <w:hyperlink r:id="rId27">
        <w:r>
          <w:rPr>
            <w:rFonts w:ascii="Times New Roman" w:eastAsia="Times New Roman" w:hAnsi="Times New Roman" w:cs="Times New Roman"/>
            <w:sz w:val="24"/>
            <w:szCs w:val="24"/>
          </w:rPr>
          <w:t xml:space="preserve"> </w:t>
        </w:r>
      </w:hyperlink>
      <w:hyperlink r:id="rId28">
        <w:r>
          <w:rPr>
            <w:rFonts w:ascii="Times New Roman" w:eastAsia="Times New Roman" w:hAnsi="Times New Roman" w:cs="Times New Roman"/>
            <w:color w:val="1155CC"/>
            <w:sz w:val="24"/>
            <w:szCs w:val="24"/>
            <w:u w:val="single"/>
          </w:rPr>
          <w:t>https://doi.org/10.1109/Blockchain53845.2021.00073</w:t>
        </w:r>
      </w:hyperlink>
    </w:p>
    <w:p w14:paraId="0000002E" w14:textId="77777777" w:rsidR="00C340BA" w:rsidRDefault="00FE3A4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Miller, A., Xia, Y., Croman, K., Shi, E., &amp; Song, D. (2016). The Honey Badger of BFT Protocols. </w:t>
      </w:r>
      <w:r>
        <w:rPr>
          <w:rFonts w:ascii="Times New Roman" w:eastAsia="Times New Roman" w:hAnsi="Times New Roman" w:cs="Times New Roman"/>
          <w:i/>
          <w:sz w:val="24"/>
          <w:szCs w:val="24"/>
        </w:rPr>
        <w:t>Proceedings of the 2016 ACM SIGSAC Conference on Computer and Communications Security</w:t>
      </w:r>
      <w:r>
        <w:rPr>
          <w:rFonts w:ascii="Times New Roman" w:eastAsia="Times New Roman" w:hAnsi="Times New Roman" w:cs="Times New Roman"/>
          <w:sz w:val="24"/>
          <w:szCs w:val="24"/>
        </w:rPr>
        <w:t xml:space="preserve"> (pp. 31–42).</w:t>
      </w:r>
      <w:hyperlink r:id="rId29">
        <w:r>
          <w:rPr>
            <w:rFonts w:ascii="Times New Roman" w:eastAsia="Times New Roman" w:hAnsi="Times New Roman" w:cs="Times New Roman"/>
            <w:sz w:val="24"/>
            <w:szCs w:val="24"/>
          </w:rPr>
          <w:t xml:space="preserve"> </w:t>
        </w:r>
      </w:hyperlink>
      <w:hyperlink r:id="rId30">
        <w:r>
          <w:rPr>
            <w:rFonts w:ascii="Times New Roman" w:eastAsia="Times New Roman" w:hAnsi="Times New Roman" w:cs="Times New Roman"/>
            <w:color w:val="1155CC"/>
            <w:sz w:val="24"/>
            <w:szCs w:val="24"/>
            <w:u w:val="single"/>
          </w:rPr>
          <w:t>https://doi.org/10.1145/2976749.2978399</w:t>
        </w:r>
      </w:hyperlink>
    </w:p>
    <w:p w14:paraId="0000002F" w14:textId="77777777" w:rsidR="00C340BA" w:rsidRDefault="00FE3A4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Ramakrishna Kotla, Lorenzo Alvisi, Michael Dahlin, Allen Clement, and Edmund L. Wong. (2009). Zyzzyva: Speculative Byzantine fault tolerance. </w:t>
      </w:r>
      <w:r>
        <w:rPr>
          <w:rFonts w:ascii="Times New Roman" w:eastAsia="Times New Roman" w:hAnsi="Times New Roman" w:cs="Times New Roman"/>
          <w:i/>
          <w:sz w:val="24"/>
          <w:szCs w:val="24"/>
        </w:rPr>
        <w:t>ACM Transactions on Computer Systems (TOCS), 27</w:t>
      </w:r>
      <w:r>
        <w:rPr>
          <w:rFonts w:ascii="Times New Roman" w:eastAsia="Times New Roman" w:hAnsi="Times New Roman" w:cs="Times New Roman"/>
          <w:sz w:val="24"/>
          <w:szCs w:val="24"/>
        </w:rPr>
        <w:t>(4), 7:1–7:39.</w:t>
      </w:r>
      <w:hyperlink r:id="rId31">
        <w:r>
          <w:rPr>
            <w:rFonts w:ascii="Times New Roman" w:eastAsia="Times New Roman" w:hAnsi="Times New Roman" w:cs="Times New Roman"/>
            <w:sz w:val="24"/>
            <w:szCs w:val="24"/>
          </w:rPr>
          <w:t xml:space="preserve"> </w:t>
        </w:r>
      </w:hyperlink>
      <w:hyperlink r:id="rId32">
        <w:r>
          <w:rPr>
            <w:rFonts w:ascii="Times New Roman" w:eastAsia="Times New Roman" w:hAnsi="Times New Roman" w:cs="Times New Roman"/>
            <w:color w:val="1155CC"/>
            <w:sz w:val="24"/>
            <w:szCs w:val="24"/>
            <w:u w:val="single"/>
          </w:rPr>
          <w:t>https://doi.org/10.1145/1658357.1658358</w:t>
        </w:r>
      </w:hyperlink>
    </w:p>
    <w:p w14:paraId="00000030" w14:textId="77777777" w:rsidR="00C340BA" w:rsidRDefault="00FE3A4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Silva, P., Matos, M., &amp; Barreto, J. (2023). NimbleChain: Speeding up Cryptocurrencies in General-purpose Permissionless Blockchains. </w:t>
      </w:r>
      <w:r>
        <w:rPr>
          <w:rFonts w:ascii="Times New Roman" w:eastAsia="Times New Roman" w:hAnsi="Times New Roman" w:cs="Times New Roman"/>
          <w:i/>
          <w:sz w:val="24"/>
          <w:szCs w:val="24"/>
        </w:rPr>
        <w:t>Distributed Ledger Technology, 2</w:t>
      </w:r>
      <w:r>
        <w:rPr>
          <w:rFonts w:ascii="Times New Roman" w:eastAsia="Times New Roman" w:hAnsi="Times New Roman" w:cs="Times New Roman"/>
          <w:sz w:val="24"/>
          <w:szCs w:val="24"/>
        </w:rPr>
        <w:t>(1), Article 8.</w:t>
      </w:r>
      <w:hyperlink r:id="rId33">
        <w:r>
          <w:rPr>
            <w:rFonts w:ascii="Times New Roman" w:eastAsia="Times New Roman" w:hAnsi="Times New Roman" w:cs="Times New Roman"/>
            <w:sz w:val="24"/>
            <w:szCs w:val="24"/>
          </w:rPr>
          <w:t xml:space="preserve"> </w:t>
        </w:r>
      </w:hyperlink>
      <w:hyperlink r:id="rId34">
        <w:r>
          <w:rPr>
            <w:rFonts w:ascii="Times New Roman" w:eastAsia="Times New Roman" w:hAnsi="Times New Roman" w:cs="Times New Roman"/>
            <w:color w:val="1155CC"/>
            <w:sz w:val="24"/>
            <w:szCs w:val="24"/>
            <w:u w:val="single"/>
          </w:rPr>
          <w:t>https://doi-org.ezproxylocal.library.nova.edu/10.1145/3573895</w:t>
        </w:r>
      </w:hyperlink>
    </w:p>
    <w:p w14:paraId="00000031" w14:textId="77777777" w:rsidR="00C340BA" w:rsidRDefault="00FE3A4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Woznica, A., &amp; Kedziora, M. (2022). Performance and scalability evaluation of a permissioned Blockchain based on the Hyperledger Fabric, Sawtooth and Iroha. </w:t>
      </w:r>
      <w:r>
        <w:rPr>
          <w:rFonts w:ascii="Times New Roman" w:eastAsia="Times New Roman" w:hAnsi="Times New Roman" w:cs="Times New Roman"/>
          <w:i/>
          <w:sz w:val="24"/>
          <w:szCs w:val="24"/>
        </w:rPr>
        <w:t>Comput. Sci. Inf. Syst., 19</w:t>
      </w:r>
      <w:r>
        <w:rPr>
          <w:rFonts w:ascii="Times New Roman" w:eastAsia="Times New Roman" w:hAnsi="Times New Roman" w:cs="Times New Roman"/>
          <w:sz w:val="24"/>
          <w:szCs w:val="24"/>
        </w:rPr>
        <w:t>, 659-678.</w:t>
      </w:r>
    </w:p>
    <w:p w14:paraId="00000032" w14:textId="77777777" w:rsidR="00C340BA" w:rsidRDefault="00FE3A43">
      <w:pPr>
        <w:spacing w:before="240" w:after="240"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Zhou, Q., Huang, H., Zheng, Z., &amp; Bian, J. (2020). Solutions to Scalability of Blockchain: A Survey. </w:t>
      </w:r>
      <w:r>
        <w:rPr>
          <w:rFonts w:ascii="Times New Roman" w:eastAsia="Times New Roman" w:hAnsi="Times New Roman" w:cs="Times New Roman"/>
          <w:i/>
          <w:sz w:val="24"/>
          <w:szCs w:val="24"/>
        </w:rPr>
        <w:t>IEEE Access</w:t>
      </w:r>
      <w:r>
        <w:rPr>
          <w:rFonts w:ascii="Times New Roman" w:eastAsia="Times New Roman" w:hAnsi="Times New Roman" w:cs="Times New Roman"/>
          <w:sz w:val="24"/>
          <w:szCs w:val="24"/>
        </w:rPr>
        <w:t>. Advance online publication.</w:t>
      </w:r>
      <w:hyperlink r:id="rId35">
        <w:r>
          <w:rPr>
            <w:rFonts w:ascii="Times New Roman" w:eastAsia="Times New Roman" w:hAnsi="Times New Roman" w:cs="Times New Roman"/>
            <w:sz w:val="24"/>
            <w:szCs w:val="24"/>
          </w:rPr>
          <w:t xml:space="preserve"> </w:t>
        </w:r>
      </w:hyperlink>
      <w:hyperlink r:id="rId36">
        <w:r>
          <w:rPr>
            <w:rFonts w:ascii="Times New Roman" w:eastAsia="Times New Roman" w:hAnsi="Times New Roman" w:cs="Times New Roman"/>
            <w:color w:val="1155CC"/>
            <w:sz w:val="24"/>
            <w:szCs w:val="24"/>
            <w:u w:val="single"/>
          </w:rPr>
          <w:t>https://doi.org/10.1109/ACCESS.2020.2967218</w:t>
        </w:r>
      </w:hyperlink>
    </w:p>
    <w:p w14:paraId="00000033" w14:textId="77777777" w:rsidR="00C340BA" w:rsidRDefault="00C340BA">
      <w:pPr>
        <w:spacing w:before="240" w:after="160" w:line="480" w:lineRule="auto"/>
        <w:rPr>
          <w:rFonts w:ascii="Times New Roman" w:eastAsia="Times New Roman" w:hAnsi="Times New Roman" w:cs="Times New Roman"/>
          <w:sz w:val="24"/>
          <w:szCs w:val="24"/>
        </w:rPr>
      </w:pPr>
    </w:p>
    <w:p w14:paraId="00000034" w14:textId="77777777" w:rsidR="00C340BA" w:rsidRDefault="00FE3A43">
      <w:pPr>
        <w:spacing w:before="240"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35" w14:textId="77777777" w:rsidR="00C340BA" w:rsidRDefault="00C340BA">
      <w:pPr>
        <w:spacing w:line="480" w:lineRule="auto"/>
        <w:rPr>
          <w:rFonts w:ascii="Times New Roman" w:eastAsia="Times New Roman" w:hAnsi="Times New Roman" w:cs="Times New Roman"/>
          <w:sz w:val="24"/>
          <w:szCs w:val="24"/>
        </w:rPr>
      </w:pPr>
    </w:p>
    <w:sectPr w:rsidR="00C340BA">
      <w:headerReference w:type="default" r:id="rId3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mment" w:date="2024-03-21T11:35:00Z" w:initials="MOU">
    <w:p w14:paraId="18FFFCE4" w14:textId="77777777" w:rsidR="009168B4" w:rsidRDefault="009168B4">
      <w:pPr>
        <w:pStyle w:val="CommentText"/>
      </w:pPr>
      <w:r>
        <w:rPr>
          <w:rStyle w:val="CommentReference"/>
        </w:rPr>
        <w:annotationRef/>
      </w:r>
      <w:r w:rsidR="00B642B1">
        <w:t xml:space="preserve">This paper provided a very high-level look at three potential directions for the work.  Take a look at the comments below and refine your work to provide a specific direction from the three based on distinct evidence and support from the literature. </w:t>
      </w:r>
    </w:p>
    <w:p w14:paraId="13FC0E6A" w14:textId="77777777" w:rsidR="00B642B1" w:rsidRDefault="00B642B1">
      <w:pPr>
        <w:pStyle w:val="CommentText"/>
      </w:pPr>
    </w:p>
    <w:p w14:paraId="0F1FB7AD" w14:textId="7B4CC1E4" w:rsidR="00B642B1" w:rsidRDefault="00B642B1">
      <w:pPr>
        <w:pStyle w:val="CommentText"/>
      </w:pPr>
      <w:r>
        <w:t>On the surface, any of the three problem directions at this high-level may provide a direction for a detailed problem, need, and goal worthy of an idea concept paper.  Your job is to focus on one of them provided you demonstrate enough value in that direction (ie. by addressing one of the three presented directions, the protocol improvement would provide a specific measurable value).</w:t>
      </w:r>
    </w:p>
  </w:comment>
  <w:comment w:id="2" w:author="Comment" w:date="2024-03-21T10:08:00Z" w:initials="MOU">
    <w:p w14:paraId="6917FA34" w14:textId="77777777" w:rsidR="001E7E70" w:rsidRDefault="001E7E70">
      <w:pPr>
        <w:pStyle w:val="CommentText"/>
      </w:pPr>
      <w:r>
        <w:rPr>
          <w:rStyle w:val="CommentReference"/>
        </w:rPr>
        <w:annotationRef/>
      </w:r>
      <w:r>
        <w:t xml:space="preserve">Keep the first sentence and update to incorporate explanation of bound time that distinguishes the two consensus protocols.  </w:t>
      </w:r>
    </w:p>
    <w:p w14:paraId="411AA1F3" w14:textId="77777777" w:rsidR="001E7E70" w:rsidRDefault="001E7E70">
      <w:pPr>
        <w:pStyle w:val="CommentText"/>
      </w:pPr>
    </w:p>
    <w:p w14:paraId="35FC9CA3" w14:textId="77777777" w:rsidR="001E7E70" w:rsidRDefault="001E7E70">
      <w:pPr>
        <w:pStyle w:val="CommentText"/>
      </w:pPr>
      <w:r>
        <w:t>The second sentence is a run-on and does not provide any new information from the first.</w:t>
      </w:r>
    </w:p>
    <w:p w14:paraId="43E031B4" w14:textId="77777777" w:rsidR="00C24C7D" w:rsidRDefault="00C24C7D">
      <w:pPr>
        <w:pStyle w:val="CommentText"/>
      </w:pPr>
    </w:p>
    <w:p w14:paraId="66DAD53D" w14:textId="31A8922D" w:rsidR="00C24C7D" w:rsidRDefault="00C24C7D">
      <w:pPr>
        <w:pStyle w:val="CommentText"/>
      </w:pPr>
      <w:r>
        <w:t>You have the correct idea we need to work on the presentation and order of support.</w:t>
      </w:r>
    </w:p>
  </w:comment>
  <w:comment w:id="3" w:author="Comment" w:date="2024-03-21T10:53:00Z" w:initials="MOU">
    <w:p w14:paraId="18BFB0F7" w14:textId="77777777" w:rsidR="00C24C7D" w:rsidRDefault="00C24C7D">
      <w:pPr>
        <w:pStyle w:val="CommentText"/>
      </w:pPr>
      <w:r>
        <w:rPr>
          <w:rStyle w:val="CommentReference"/>
        </w:rPr>
        <w:annotationRef/>
      </w:r>
      <w:r>
        <w:t>You must support this.  Again, at a very high-level this is the correct path, however you must provide more depth and support for this.  Each item you detail in this concept draft gets you closer to the idea paper.</w:t>
      </w:r>
    </w:p>
    <w:p w14:paraId="2197043A" w14:textId="77777777" w:rsidR="00211415" w:rsidRDefault="00211415">
      <w:pPr>
        <w:pStyle w:val="CommentText"/>
      </w:pPr>
    </w:p>
    <w:p w14:paraId="2D5C4321" w14:textId="77777777" w:rsidR="00211415" w:rsidRDefault="00211415">
      <w:pPr>
        <w:pStyle w:val="CommentText"/>
      </w:pPr>
      <w:r>
        <w:t>Associating the direction with the current literature that is focused in this area is the correct pathway to support.</w:t>
      </w:r>
    </w:p>
    <w:p w14:paraId="497115EF" w14:textId="77777777" w:rsidR="00211415" w:rsidRDefault="00211415">
      <w:pPr>
        <w:pStyle w:val="CommentText"/>
      </w:pPr>
    </w:p>
    <w:p w14:paraId="2AFC886A" w14:textId="4F90CE76" w:rsidR="00211415" w:rsidRDefault="00211415">
      <w:pPr>
        <w:pStyle w:val="CommentText"/>
      </w:pPr>
      <w:r>
        <w:t>Also at this point you should provide some overview of what your paper will accomplish.  Then use the subsequent sections to explain on greater detail.</w:t>
      </w:r>
    </w:p>
  </w:comment>
  <w:comment w:id="4" w:author="Comment" w:date="2024-03-21T10:58:00Z" w:initials="MOU">
    <w:p w14:paraId="014D66A7" w14:textId="649B395C" w:rsidR="00211415" w:rsidRDefault="00211415">
      <w:pPr>
        <w:pStyle w:val="CommentText"/>
      </w:pPr>
      <w:r>
        <w:rPr>
          <w:rStyle w:val="CommentReference"/>
        </w:rPr>
        <w:annotationRef/>
      </w:r>
      <w:r>
        <w:t>Provide context toward the work you will focus on not just list information.</w:t>
      </w:r>
    </w:p>
  </w:comment>
  <w:comment w:id="5" w:author="Comment" w:date="2024-03-21T10:58:00Z" w:initials="MOU">
    <w:p w14:paraId="0EA57CC2" w14:textId="442E9102" w:rsidR="00211415" w:rsidRDefault="00211415">
      <w:pPr>
        <w:pStyle w:val="CommentText"/>
      </w:pPr>
      <w:r>
        <w:rPr>
          <w:rStyle w:val="CommentReference"/>
        </w:rPr>
        <w:annotationRef/>
      </w:r>
      <w:r>
        <w:t>Why?  Based on what current literature support.  Dig deep into why this direction is a potential pathway and problem domain it is addressing.</w:t>
      </w:r>
    </w:p>
  </w:comment>
  <w:comment w:id="6" w:author="Comment" w:date="2024-03-21T11:00:00Z" w:initials="MOU">
    <w:p w14:paraId="7E034113" w14:textId="77777777" w:rsidR="00211415" w:rsidRDefault="00211415">
      <w:pPr>
        <w:pStyle w:val="CommentText"/>
      </w:pPr>
      <w:r>
        <w:rPr>
          <w:rStyle w:val="CommentReference"/>
        </w:rPr>
        <w:annotationRef/>
      </w:r>
      <w:r>
        <w:t>Is this something you will address in detail below?</w:t>
      </w:r>
    </w:p>
    <w:p w14:paraId="1EED2E7E" w14:textId="77777777" w:rsidR="00211415" w:rsidRDefault="00211415">
      <w:pPr>
        <w:pStyle w:val="CommentText"/>
      </w:pPr>
    </w:p>
    <w:p w14:paraId="497DC16F" w14:textId="19C859B8" w:rsidR="00211415" w:rsidRDefault="00211415">
      <w:pPr>
        <w:pStyle w:val="CommentText"/>
      </w:pPr>
      <w:r>
        <w:t>Just listing information does not move the work closer to a problem, need, and goal.</w:t>
      </w:r>
    </w:p>
  </w:comment>
  <w:comment w:id="7" w:author="Comment" w:date="2024-03-21T11:01:00Z" w:initials="MOU">
    <w:p w14:paraId="0F53962F" w14:textId="23850DE6" w:rsidR="00B56024" w:rsidRDefault="00B56024">
      <w:pPr>
        <w:pStyle w:val="CommentText"/>
      </w:pPr>
      <w:r>
        <w:rPr>
          <w:rStyle w:val="CommentReference"/>
        </w:rPr>
        <w:annotationRef/>
      </w:r>
      <w:r>
        <w:t xml:space="preserve">But why was it needed? What domain of research and target outcome influenced the direction?  </w:t>
      </w:r>
    </w:p>
  </w:comment>
  <w:comment w:id="8" w:author="Comment" w:date="2024-03-21T11:02:00Z" w:initials="MOU">
    <w:p w14:paraId="4272E65A" w14:textId="307E6598" w:rsidR="00B56024" w:rsidRDefault="00B56024">
      <w:pPr>
        <w:pStyle w:val="CommentText"/>
      </w:pPr>
      <w:r>
        <w:rPr>
          <w:rStyle w:val="CommentReference"/>
        </w:rPr>
        <w:annotationRef/>
      </w:r>
      <w:r>
        <w:t>This is a fragment; there is not context or complete thought related to supporting a direction.</w:t>
      </w:r>
    </w:p>
  </w:comment>
  <w:comment w:id="9" w:author="Comment" w:date="2024-03-21T11:03:00Z" w:initials="MOU">
    <w:p w14:paraId="771726CD" w14:textId="77777777" w:rsidR="00B56024" w:rsidRDefault="00B56024">
      <w:pPr>
        <w:pStyle w:val="CommentText"/>
      </w:pPr>
      <w:r>
        <w:rPr>
          <w:rStyle w:val="CommentReference"/>
        </w:rPr>
        <w:annotationRef/>
      </w:r>
      <w:r>
        <w:t>What is the value and evidence that supports this?</w:t>
      </w:r>
    </w:p>
    <w:p w14:paraId="69AA6B8F" w14:textId="77777777" w:rsidR="00B56024" w:rsidRDefault="00B56024">
      <w:pPr>
        <w:pStyle w:val="CommentText"/>
      </w:pPr>
    </w:p>
    <w:p w14:paraId="7C0C4791" w14:textId="63F0DBFB" w:rsidR="00B56024" w:rsidRDefault="00B56024">
      <w:pPr>
        <w:pStyle w:val="CommentText"/>
      </w:pPr>
      <w:r>
        <w:t>You are just listing information without synthesizing value from the current literature.</w:t>
      </w:r>
    </w:p>
  </w:comment>
  <w:comment w:id="10" w:author="Comment" w:date="2024-03-21T11:04:00Z" w:initials="MOU">
    <w:p w14:paraId="2128BE01" w14:textId="77777777" w:rsidR="00B56024" w:rsidRDefault="00B56024">
      <w:pPr>
        <w:pStyle w:val="CommentText"/>
      </w:pPr>
      <w:r>
        <w:rPr>
          <w:rStyle w:val="CommentReference"/>
        </w:rPr>
        <w:annotationRef/>
      </w:r>
      <w:r>
        <w:t>This is a run-on sentence.</w:t>
      </w:r>
    </w:p>
    <w:p w14:paraId="37D51B52" w14:textId="77777777" w:rsidR="00B56024" w:rsidRDefault="00B56024">
      <w:pPr>
        <w:pStyle w:val="CommentText"/>
      </w:pPr>
    </w:p>
    <w:p w14:paraId="2A34086C" w14:textId="02EA60D9" w:rsidR="00B56024" w:rsidRDefault="00B56024">
      <w:pPr>
        <w:pStyle w:val="CommentText"/>
      </w:pPr>
      <w:r>
        <w:t>How does this provide a contribution based on some qualitative and or quantitative value as supported by the literature in the domain?</w:t>
      </w:r>
    </w:p>
  </w:comment>
  <w:comment w:id="11" w:author="Comment" w:date="2024-03-21T11:09:00Z" w:initials="MOU">
    <w:p w14:paraId="316D4E3C" w14:textId="3C7D816E" w:rsidR="003D3F14" w:rsidRDefault="003D3F14">
      <w:pPr>
        <w:pStyle w:val="CommentText"/>
      </w:pPr>
      <w:r>
        <w:rPr>
          <w:rStyle w:val="CommentReference"/>
        </w:rPr>
        <w:annotationRef/>
      </w:r>
      <w:r>
        <w:t>You must elaborate and support this.  How is it reputable?  Based on what known metrics and analysis?  What workload?  What past work did not achieve this?  What other current work has addressed this?  Why is Aleph not adequate for some specific supported environment and workload and thus why is more work required?</w:t>
      </w:r>
    </w:p>
  </w:comment>
  <w:comment w:id="12" w:author="Comment" w:date="2024-03-21T11:20:00Z" w:initials="MOU">
    <w:p w14:paraId="4FA67340" w14:textId="56D7CFA5" w:rsidR="007F77DB" w:rsidRDefault="007F77DB">
      <w:pPr>
        <w:pStyle w:val="CommentText"/>
      </w:pPr>
      <w:r>
        <w:rPr>
          <w:rStyle w:val="CommentReference"/>
        </w:rPr>
        <w:annotationRef/>
      </w:r>
      <w:r>
        <w:t>I am assuming you are just listing possible directions at a very terse and high-level not indicating these three are to form the focus of the idea concept paper.</w:t>
      </w:r>
    </w:p>
  </w:comment>
  <w:comment w:id="13" w:author="Comment" w:date="2024-03-21T11:21:00Z" w:initials="MOU">
    <w:p w14:paraId="3045C0F0" w14:textId="3F1B0EAF" w:rsidR="007F77DB" w:rsidRDefault="007F77DB">
      <w:pPr>
        <w:pStyle w:val="CommentText"/>
      </w:pPr>
      <w:r>
        <w:rPr>
          <w:rStyle w:val="CommentReference"/>
        </w:rPr>
        <w:annotationRef/>
      </w:r>
      <w:r>
        <w:t>Is this form of denial of service attack common in this domain?  What literature supports the relevance and significance of this area?  Given Aleph is an example of a specific protocol type, how is this generalizable?  Why is this problem not a sole focus of the work (ie. why have you listed other problems below and thus how are any of them linked to a single research focus?)</w:t>
      </w:r>
    </w:p>
  </w:comment>
  <w:comment w:id="14" w:author="Comment" w:date="2024-03-21T11:24:00Z" w:initials="MOU">
    <w:p w14:paraId="7F9525D3" w14:textId="77777777" w:rsidR="0058131B" w:rsidRDefault="0058131B">
      <w:pPr>
        <w:pStyle w:val="CommentText"/>
      </w:pPr>
      <w:r>
        <w:rPr>
          <w:rStyle w:val="CommentReference"/>
        </w:rPr>
        <w:annotationRef/>
      </w:r>
      <w:r>
        <w:t>This is just a statement that provides no evidence or support for a direction.  Just because a statement is made that something may improve does not indicate support for research direction.</w:t>
      </w:r>
    </w:p>
    <w:p w14:paraId="7CF759AA" w14:textId="77777777" w:rsidR="0058131B" w:rsidRDefault="0058131B">
      <w:pPr>
        <w:pStyle w:val="CommentText"/>
      </w:pPr>
    </w:p>
    <w:p w14:paraId="2768D3C8" w14:textId="481153EC" w:rsidR="0058131B" w:rsidRDefault="0058131B">
      <w:pPr>
        <w:pStyle w:val="CommentText"/>
      </w:pPr>
      <w:r>
        <w:t>When you mention scale you must fully detail and support the context and value of current methods and why they are inadequate for a specific domain and workload as supported by a need in some environment.</w:t>
      </w:r>
    </w:p>
  </w:comment>
  <w:comment w:id="15" w:author="Comment" w:date="2024-03-21T11:26:00Z" w:initials="MOU">
    <w:p w14:paraId="5BCD5AE7" w14:textId="1E93EA29" w:rsidR="0058131B" w:rsidRDefault="0058131B">
      <w:pPr>
        <w:pStyle w:val="CommentText"/>
      </w:pPr>
      <w:r>
        <w:rPr>
          <w:rStyle w:val="CommentReference"/>
        </w:rPr>
        <w:annotationRef/>
      </w:r>
      <w:r>
        <w:t>This could be a focus provided there is adequate support for why it is a problem, it impact, cost, and why it must be addressed.  What has been accomplished in this area?</w:t>
      </w:r>
    </w:p>
  </w:comment>
  <w:comment w:id="16" w:author="Comment" w:date="2024-03-21T11:27:00Z" w:initials="MOU">
    <w:p w14:paraId="2B8ADCB2" w14:textId="724FB854" w:rsidR="0058131B" w:rsidRDefault="0058131B">
      <w:pPr>
        <w:pStyle w:val="CommentText"/>
      </w:pPr>
      <w:r>
        <w:rPr>
          <w:rStyle w:val="CommentReference"/>
        </w:rPr>
        <w:annotationRef/>
      </w:r>
      <w:r>
        <w:t>Again, I am assuming this is a terse list of potential outcomes based on the disjoint problem listings above.</w:t>
      </w:r>
    </w:p>
  </w:comment>
  <w:comment w:id="17" w:author="Comment" w:date="2024-03-21T11:29:00Z" w:initials="MOU">
    <w:p w14:paraId="25BE3111" w14:textId="77777777" w:rsidR="0058131B" w:rsidRDefault="0058131B">
      <w:pPr>
        <w:pStyle w:val="CommentText"/>
      </w:pPr>
      <w:r>
        <w:rPr>
          <w:rStyle w:val="CommentReference"/>
        </w:rPr>
        <w:annotationRef/>
      </w:r>
      <w:r>
        <w:t>Again, you are just listing information at a very high-level.  These cannot be evaluated as stated to show an outcome that is an improvement over current designs and implementations.</w:t>
      </w:r>
    </w:p>
    <w:p w14:paraId="4F4EAB8C" w14:textId="77777777" w:rsidR="0058131B" w:rsidRDefault="0058131B">
      <w:pPr>
        <w:pStyle w:val="CommentText"/>
      </w:pPr>
    </w:p>
    <w:p w14:paraId="775F61D4" w14:textId="29C82E5E" w:rsidR="0058131B" w:rsidRDefault="0058131B">
      <w:pPr>
        <w:pStyle w:val="CommentText"/>
      </w:pPr>
      <w:r>
        <w:t>Some of this may be the approach, but there is not a clear and measurable goal based on a clear and concise supported problem.</w:t>
      </w:r>
    </w:p>
  </w:comment>
  <w:comment w:id="18" w:author="Comment" w:date="2024-03-21T11:31:00Z" w:initials="MOU">
    <w:p w14:paraId="4891E3FC" w14:textId="77777777" w:rsidR="0058131B" w:rsidRDefault="0058131B">
      <w:pPr>
        <w:pStyle w:val="CommentText"/>
      </w:pPr>
      <w:r>
        <w:rPr>
          <w:rStyle w:val="CommentReference"/>
        </w:rPr>
        <w:annotationRef/>
      </w:r>
      <w:r>
        <w:t>Not a clear and measurable goal.</w:t>
      </w:r>
    </w:p>
    <w:p w14:paraId="0A765C95" w14:textId="77777777" w:rsidR="0058131B" w:rsidRDefault="0058131B">
      <w:pPr>
        <w:pStyle w:val="CommentText"/>
      </w:pPr>
    </w:p>
    <w:p w14:paraId="2712EBC1" w14:textId="77777777" w:rsidR="0058131B" w:rsidRDefault="0058131B">
      <w:pPr>
        <w:pStyle w:val="CommentText"/>
      </w:pPr>
      <w:r>
        <w:t>How is complexity defined, measured, addressed in current work, and why must it be reduced for specific domains and workloads?</w:t>
      </w:r>
    </w:p>
    <w:p w14:paraId="250FAC2C" w14:textId="77777777" w:rsidR="0058131B" w:rsidRDefault="0058131B">
      <w:pPr>
        <w:pStyle w:val="CommentText"/>
      </w:pPr>
    </w:p>
    <w:p w14:paraId="7FA7A0AA" w14:textId="2A942A9C" w:rsidR="0058131B" w:rsidRDefault="0058131B">
      <w:pPr>
        <w:pStyle w:val="CommentText"/>
      </w:pPr>
      <w:r>
        <w:t>Again, this is just a terse direction where you are stating a potential high-level approach without a clear problem or goal.</w:t>
      </w:r>
    </w:p>
  </w:comment>
  <w:comment w:id="19" w:author="Comment" w:date="2024-03-21T11:34:00Z" w:initials="MOU">
    <w:p w14:paraId="6EB1380C" w14:textId="77777777" w:rsidR="009168B4" w:rsidRDefault="009168B4" w:rsidP="009168B4">
      <w:pPr>
        <w:pStyle w:val="CommentText"/>
      </w:pPr>
      <w:r>
        <w:rPr>
          <w:rStyle w:val="CommentReference"/>
        </w:rPr>
        <w:annotationRef/>
      </w:r>
      <w:r>
        <w:t>Again, you are just listing information at a very high-level.  These cannot be evaluated as stated to show an outcome that is an improvement over current designs and implementations.</w:t>
      </w:r>
    </w:p>
    <w:p w14:paraId="1FC01594" w14:textId="77777777" w:rsidR="009168B4" w:rsidRDefault="009168B4" w:rsidP="009168B4">
      <w:pPr>
        <w:pStyle w:val="CommentText"/>
      </w:pPr>
    </w:p>
    <w:p w14:paraId="270893ED" w14:textId="77777777" w:rsidR="009168B4" w:rsidRDefault="009168B4" w:rsidP="009168B4">
      <w:pPr>
        <w:pStyle w:val="CommentText"/>
      </w:pPr>
      <w:r>
        <w:t>Some of this may be the approach, but there is not a clear and measurable goal based on a clear and concise supported problem.</w:t>
      </w:r>
    </w:p>
    <w:p w14:paraId="0FC67B00" w14:textId="4C697AAD" w:rsidR="009168B4" w:rsidRDefault="009168B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1FB7AD" w15:done="0"/>
  <w15:commentEx w15:paraId="66DAD53D" w15:done="0"/>
  <w15:commentEx w15:paraId="2AFC886A" w15:done="0"/>
  <w15:commentEx w15:paraId="014D66A7" w15:done="0"/>
  <w15:commentEx w15:paraId="0EA57CC2" w15:done="0"/>
  <w15:commentEx w15:paraId="497DC16F" w15:done="0"/>
  <w15:commentEx w15:paraId="0F53962F" w15:done="0"/>
  <w15:commentEx w15:paraId="4272E65A" w15:done="0"/>
  <w15:commentEx w15:paraId="7C0C4791" w15:done="0"/>
  <w15:commentEx w15:paraId="2A34086C" w15:done="0"/>
  <w15:commentEx w15:paraId="316D4E3C" w15:done="0"/>
  <w15:commentEx w15:paraId="4FA67340" w15:done="0"/>
  <w15:commentEx w15:paraId="3045C0F0" w15:done="0"/>
  <w15:commentEx w15:paraId="2768D3C8" w15:done="0"/>
  <w15:commentEx w15:paraId="5BCD5AE7" w15:done="0"/>
  <w15:commentEx w15:paraId="2B8ADCB2" w15:done="0"/>
  <w15:commentEx w15:paraId="775F61D4" w15:done="0"/>
  <w15:commentEx w15:paraId="7FA7A0AA" w15:done="0"/>
  <w15:commentEx w15:paraId="0FC67B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1FB7AD" w16cid:durableId="29A69A0E"/>
  <w16cid:commentId w16cid:paraId="66DAD53D" w16cid:durableId="29A685B9"/>
  <w16cid:commentId w16cid:paraId="2AFC886A" w16cid:durableId="29A69015"/>
  <w16cid:commentId w16cid:paraId="014D66A7" w16cid:durableId="29A69138"/>
  <w16cid:commentId w16cid:paraId="0EA57CC2" w16cid:durableId="29A69163"/>
  <w16cid:commentId w16cid:paraId="497DC16F" w16cid:durableId="29A691B6"/>
  <w16cid:commentId w16cid:paraId="0F53962F" w16cid:durableId="29A6921C"/>
  <w16cid:commentId w16cid:paraId="4272E65A" w16cid:durableId="29A6925D"/>
  <w16cid:commentId w16cid:paraId="7C0C4791" w16cid:durableId="29A6928A"/>
  <w16cid:commentId w16cid:paraId="2A34086C" w16cid:durableId="29A692CF"/>
  <w16cid:commentId w16cid:paraId="316D4E3C" w16cid:durableId="29A693D1"/>
  <w16cid:commentId w16cid:paraId="4FA67340" w16cid:durableId="29A69677"/>
  <w16cid:commentId w16cid:paraId="3045C0F0" w16cid:durableId="29A696BF"/>
  <w16cid:commentId w16cid:paraId="2768D3C8" w16cid:durableId="29A69750"/>
  <w16cid:commentId w16cid:paraId="5BCD5AE7" w16cid:durableId="29A697E5"/>
  <w16cid:commentId w16cid:paraId="2B8ADCB2" w16cid:durableId="29A69838"/>
  <w16cid:commentId w16cid:paraId="775F61D4" w16cid:durableId="29A69891"/>
  <w16cid:commentId w16cid:paraId="7FA7A0AA" w16cid:durableId="29A69928"/>
  <w16cid:commentId w16cid:paraId="0FC67B00" w16cid:durableId="29A699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1CBA3" w14:textId="77777777" w:rsidR="003C48D2" w:rsidRDefault="003C48D2">
      <w:pPr>
        <w:spacing w:line="240" w:lineRule="auto"/>
      </w:pPr>
      <w:r>
        <w:separator/>
      </w:r>
    </w:p>
  </w:endnote>
  <w:endnote w:type="continuationSeparator" w:id="0">
    <w:p w14:paraId="6D327D8B" w14:textId="77777777" w:rsidR="003C48D2" w:rsidRDefault="003C48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157B6" w14:textId="77777777" w:rsidR="003C48D2" w:rsidRDefault="003C48D2">
      <w:pPr>
        <w:spacing w:line="240" w:lineRule="auto"/>
      </w:pPr>
      <w:r>
        <w:separator/>
      </w:r>
    </w:p>
  </w:footnote>
  <w:footnote w:type="continuationSeparator" w:id="0">
    <w:p w14:paraId="7247C6D0" w14:textId="77777777" w:rsidR="003C48D2" w:rsidRDefault="003C48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6" w14:textId="77777777" w:rsidR="00C340BA" w:rsidRDefault="00FE3A43">
    <w:r>
      <w:t>Eric Webb</w:t>
    </w:r>
  </w:p>
  <w:p w14:paraId="00000037" w14:textId="77777777" w:rsidR="00C340BA" w:rsidRDefault="00FE3A43">
    <w:r>
      <w:t>N01927543</w:t>
    </w:r>
  </w:p>
  <w:p w14:paraId="00000038" w14:textId="77777777" w:rsidR="00C340BA" w:rsidRDefault="003C48D2">
    <w:hyperlink r:id="rId1">
      <w:r w:rsidR="00FE3A43">
        <w:rPr>
          <w:color w:val="1155CC"/>
          <w:u w:val="single"/>
        </w:rPr>
        <w:t>ew774@mynsu.nova.edu</w:t>
      </w:r>
    </w:hyperlink>
  </w:p>
  <w:p w14:paraId="00000039" w14:textId="77777777" w:rsidR="00C340BA" w:rsidRDefault="00FE3A43">
    <w:r>
      <w:t>Idea Concept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0BA"/>
    <w:rsid w:val="001E7E70"/>
    <w:rsid w:val="00211415"/>
    <w:rsid w:val="003C48D2"/>
    <w:rsid w:val="003D3F14"/>
    <w:rsid w:val="004C3B22"/>
    <w:rsid w:val="0058131B"/>
    <w:rsid w:val="007F77DB"/>
    <w:rsid w:val="009168B4"/>
    <w:rsid w:val="00AD406D"/>
    <w:rsid w:val="00B56024"/>
    <w:rsid w:val="00B642B1"/>
    <w:rsid w:val="00C24C7D"/>
    <w:rsid w:val="00C340BA"/>
    <w:rsid w:val="00FE3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17DA6A"/>
  <w15:docId w15:val="{BF5450B6-B144-C642-B1A5-31B4E0CE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1E7E70"/>
    <w:rPr>
      <w:sz w:val="16"/>
      <w:szCs w:val="16"/>
    </w:rPr>
  </w:style>
  <w:style w:type="paragraph" w:styleId="CommentText">
    <w:name w:val="annotation text"/>
    <w:basedOn w:val="Normal"/>
    <w:link w:val="CommentTextChar"/>
    <w:uiPriority w:val="99"/>
    <w:semiHidden/>
    <w:unhideWhenUsed/>
    <w:rsid w:val="001E7E70"/>
    <w:pPr>
      <w:spacing w:line="240" w:lineRule="auto"/>
    </w:pPr>
    <w:rPr>
      <w:sz w:val="20"/>
      <w:szCs w:val="20"/>
    </w:rPr>
  </w:style>
  <w:style w:type="character" w:customStyle="1" w:styleId="CommentTextChar">
    <w:name w:val="Comment Text Char"/>
    <w:basedOn w:val="DefaultParagraphFont"/>
    <w:link w:val="CommentText"/>
    <w:uiPriority w:val="99"/>
    <w:semiHidden/>
    <w:rsid w:val="001E7E70"/>
    <w:rPr>
      <w:sz w:val="20"/>
      <w:szCs w:val="20"/>
    </w:rPr>
  </w:style>
  <w:style w:type="paragraph" w:styleId="CommentSubject">
    <w:name w:val="annotation subject"/>
    <w:basedOn w:val="CommentText"/>
    <w:next w:val="CommentText"/>
    <w:link w:val="CommentSubjectChar"/>
    <w:uiPriority w:val="99"/>
    <w:semiHidden/>
    <w:unhideWhenUsed/>
    <w:rsid w:val="001E7E70"/>
    <w:rPr>
      <w:b/>
      <w:bCs/>
    </w:rPr>
  </w:style>
  <w:style w:type="character" w:customStyle="1" w:styleId="CommentSubjectChar">
    <w:name w:val="Comment Subject Char"/>
    <w:basedOn w:val="CommentTextChar"/>
    <w:link w:val="CommentSubject"/>
    <w:uiPriority w:val="99"/>
    <w:semiHidden/>
    <w:rsid w:val="001E7E70"/>
    <w:rPr>
      <w:b/>
      <w:bCs/>
      <w:sz w:val="20"/>
      <w:szCs w:val="20"/>
    </w:rPr>
  </w:style>
  <w:style w:type="paragraph" w:styleId="BalloonText">
    <w:name w:val="Balloon Text"/>
    <w:basedOn w:val="Normal"/>
    <w:link w:val="BalloonTextChar"/>
    <w:uiPriority w:val="99"/>
    <w:semiHidden/>
    <w:unhideWhenUsed/>
    <w:rsid w:val="001E7E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7E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doi.org/10.1145/3243734.3243812" TargetMode="External"/><Relationship Id="rId18" Type="http://schemas.openxmlformats.org/officeDocument/2006/relationships/hyperlink" Target="https://doi.org/10.1007/3-540-36563-X_26" TargetMode="External"/><Relationship Id="rId26" Type="http://schemas.openxmlformats.org/officeDocument/2006/relationships/hyperlink" Target="https://doi.org/10.1145/3372297.3423364" TargetMode="External"/><Relationship Id="rId39" Type="http://schemas.openxmlformats.org/officeDocument/2006/relationships/theme" Target="theme/theme1.xml"/><Relationship Id="rId21" Type="http://schemas.openxmlformats.org/officeDocument/2006/relationships/hyperlink" Target="https://doi.org/10.1145/3372297.3417262" TargetMode="External"/><Relationship Id="rId34" Type="http://schemas.openxmlformats.org/officeDocument/2006/relationships/hyperlink" Target="https://doi-org.ezproxylocal.library.nova.edu/10.1145/3573895" TargetMode="External"/><Relationship Id="rId7" Type="http://schemas.microsoft.com/office/2011/relationships/commentsExtended" Target="commentsExtended.xml"/><Relationship Id="rId12" Type="http://schemas.openxmlformats.org/officeDocument/2006/relationships/hyperlink" Target="https://doi-org.ezproxylocal.library.nova.edu/10.1145/3477314.3507245" TargetMode="External"/><Relationship Id="rId17" Type="http://schemas.openxmlformats.org/officeDocument/2006/relationships/hyperlink" Target="https://doi.org/10.1007/3-540-36563-X_26" TargetMode="External"/><Relationship Id="rId25" Type="http://schemas.openxmlformats.org/officeDocument/2006/relationships/hyperlink" Target="https://doi.org/10.1145/3372297.3423364" TargetMode="External"/><Relationship Id="rId33" Type="http://schemas.openxmlformats.org/officeDocument/2006/relationships/hyperlink" Target="https://doi-org.ezproxylocal.library.nova.edu/10.1145/3573895"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145/3548606.3559379" TargetMode="External"/><Relationship Id="rId20" Type="http://schemas.openxmlformats.org/officeDocument/2006/relationships/hyperlink" Target="https://doi.org/10.1007/s00145-006-0347-3" TargetMode="External"/><Relationship Id="rId29" Type="http://schemas.openxmlformats.org/officeDocument/2006/relationships/hyperlink" Target="https://doi.org/10.1145/2976749.2978399" TargetMode="Externa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ezproxylocal.library.nova.edu/10.1145/3477314.3507245" TargetMode="External"/><Relationship Id="rId24" Type="http://schemas.openxmlformats.org/officeDocument/2006/relationships/hyperlink" Target="https://doi.org/10.1109/ICBC51069.2021.9461080" TargetMode="External"/><Relationship Id="rId32" Type="http://schemas.openxmlformats.org/officeDocument/2006/relationships/hyperlink" Target="https://doi.org/10.1145/1658357.1658358" TargetMode="External"/><Relationship Id="rId37"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doi.org/10.1145/3548606.3559379" TargetMode="External"/><Relationship Id="rId23" Type="http://schemas.openxmlformats.org/officeDocument/2006/relationships/hyperlink" Target="https://doi.org/10.1109/ICBC51069.2021.9461080" TargetMode="External"/><Relationship Id="rId28" Type="http://schemas.openxmlformats.org/officeDocument/2006/relationships/hyperlink" Target="https://doi.org/10.1109/Blockchain53845.2021.00073" TargetMode="External"/><Relationship Id="rId36" Type="http://schemas.openxmlformats.org/officeDocument/2006/relationships/hyperlink" Target="https://doi.org/10.1109/ACCESS.2020.2967218" TargetMode="External"/><Relationship Id="rId10" Type="http://schemas.openxmlformats.org/officeDocument/2006/relationships/hyperlink" Target="https://doi.org/10.1109/COINS49042.2020.9191430" TargetMode="External"/><Relationship Id="rId19" Type="http://schemas.openxmlformats.org/officeDocument/2006/relationships/hyperlink" Target="https://doi.org/10.1007/s00145-006-0347-3" TargetMode="External"/><Relationship Id="rId31" Type="http://schemas.openxmlformats.org/officeDocument/2006/relationships/hyperlink" Target="https://doi.org/10.1145/1658357.1658358" TargetMode="External"/><Relationship Id="rId4" Type="http://schemas.openxmlformats.org/officeDocument/2006/relationships/footnotes" Target="footnotes.xml"/><Relationship Id="rId9" Type="http://schemas.openxmlformats.org/officeDocument/2006/relationships/hyperlink" Target="https://doi.org/10.1109/COINS49042.2020.9191430" TargetMode="External"/><Relationship Id="rId14" Type="http://schemas.openxmlformats.org/officeDocument/2006/relationships/hyperlink" Target="https://doi.org/10.1145/3243734.3243812" TargetMode="External"/><Relationship Id="rId22" Type="http://schemas.openxmlformats.org/officeDocument/2006/relationships/hyperlink" Target="https://doi.org/10.1145/3372297.3417262" TargetMode="External"/><Relationship Id="rId27" Type="http://schemas.openxmlformats.org/officeDocument/2006/relationships/hyperlink" Target="https://doi.org/10.1109/Blockchain53845.2021.00073" TargetMode="External"/><Relationship Id="rId30" Type="http://schemas.openxmlformats.org/officeDocument/2006/relationships/hyperlink" Target="https://doi.org/10.1145/2976749.2978399" TargetMode="External"/><Relationship Id="rId35" Type="http://schemas.openxmlformats.org/officeDocument/2006/relationships/hyperlink" Target="https://doi.org/10.1109/ACCESS.2020.2967218" TargetMode="External"/><Relationship Id="rId8" Type="http://schemas.microsoft.com/office/2016/09/relationships/commentsIds" Target="commentsIds.xml"/><Relationship Id="rId3"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hyperlink" Target="mailto:ew774@mynsu.nov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Comment</cp:lastModifiedBy>
  <cp:revision>13</cp:revision>
  <dcterms:created xsi:type="dcterms:W3CDTF">2024-03-21T13:53:00Z</dcterms:created>
  <dcterms:modified xsi:type="dcterms:W3CDTF">2024-03-21T16:04:00Z</dcterms:modified>
</cp:coreProperties>
</file>