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Overview</w:t>
      </w:r>
      <w:r w:rsidDel="00000000" w:rsidR="00000000" w:rsidRPr="00000000">
        <w:rPr>
          <w:rFonts w:ascii="Times New Roman" w:cs="Times New Roman" w:eastAsia="Times New Roman" w:hAnsi="Times New Roman"/>
          <w:b w:val="1"/>
          <w:sz w:val="24"/>
          <w:szCs w:val="24"/>
          <w:rtl w:val="0"/>
        </w:rPr>
        <w:t xml:space="preserve">:</w:t>
        <w:tab/>
        <w:t xml:space="preserve"> </w:t>
        <w:tab/>
        <w:t xml:space="preserve"> </w:t>
        <w:tab/>
        <w:t xml:space="preserve"> </w:t>
        <w:tab/>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t xml:space="preserve"> </w:t>
        <w:tab/>
        <w:t xml:space="preserve"> </w:t>
        <w:tab/>
        <w:t xml:space="preserve"> </w:t>
        <w:tab/>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Concept Paper will identify and focus a research direction in the field of Asynchronous Consensus and Permissionless Systems. Specifically, the research will incorporate the Aleph protocol (Gągol et al., 2019) as the basis of the consensus protocol, which aims to improve efficiency and scalability by reducing communication complexity and advancing the general field of Asynchronous Consensus in Permissionless systems. The paper will address a performance problem with Alephs communication complexity and propose an improvement based on the evaluation and integration of published improved Reliable Broadcast Communications (RBC), replacing Aleph’s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 based RBC with one based on RSA accumulators (Hussein &amp; Al-Gailani, 2022).</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Aleph protocol is important because it is credited to being one of the first asynchronous consensus protocols to operate in a permissionless setting by removing the need of Distributed Key Generation (DKG) and operating without a trusted dealer (Guo et al., 2022). However, performance is throttled by the use of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 based RBC, which becomes resource intensive as the network scales. This is because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trees provide cryptographic proofs of data integrity, but require significant computational resources for construction and verification leading to increased latency and reduced throughput in blockchain systems. (Hussein &amp; Al-Gailani, 2022). </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issues, this research proposes replacing Aleph's </w:t>
      </w:r>
      <w:r w:rsidDel="00000000" w:rsidR="00000000" w:rsidRPr="00000000">
        <w:rPr>
          <w:rFonts w:ascii="Times New Roman" w:cs="Times New Roman" w:eastAsia="Times New Roman" w:hAnsi="Times New Roman"/>
          <w:sz w:val="24"/>
          <w:szCs w:val="24"/>
          <w:rtl w:val="0"/>
        </w:rPr>
        <w:t xml:space="preserve">merkle</w:t>
      </w:r>
      <w:r w:rsidDel="00000000" w:rsidR="00000000" w:rsidRPr="00000000">
        <w:rPr>
          <w:rFonts w:ascii="Times New Roman" w:cs="Times New Roman" w:eastAsia="Times New Roman" w:hAnsi="Times New Roman"/>
          <w:sz w:val="24"/>
          <w:szCs w:val="24"/>
          <w:rtl w:val="0"/>
        </w:rPr>
        <w:t xml:space="preserve"> tree based RBC with a more efficient system based on RSA accumulators. RSA accumulators offer a cryptographic alternative that can significantly reduce communication and computational complexity (Reddy, 2021). By integrating RSA accumulator based RBC, the protocol aims to decrease communication complexity and lead  to an enhanced performance.</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is limited research available in the field of Asynchronous Permissionless systems, any enhancement in Aleph’s RBC would not only benefit Aleph itself but also contribute to the broader domain of Asynchronous Permissionless systems. As Aleph is one of the few Asynchronous Permissionless protocols, advancements in its RBC could set a precedent and provide valuable insights for future developments in the domain of Asynchronous Permissionless consensus.</w:t>
      </w:r>
    </w:p>
    <w:p w:rsidR="00000000" w:rsidDel="00000000" w:rsidP="00000000" w:rsidRDefault="00000000" w:rsidRPr="00000000" w14:paraId="00000007">
      <w:pPr>
        <w:keepNext w:val="0"/>
        <w:keepLines w:val="0"/>
        <w:spacing w:before="2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8">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Redeploy Original Aleph:</w:t>
      </w:r>
    </w:p>
    <w:p w:rsidR="00000000" w:rsidDel="00000000" w:rsidP="00000000" w:rsidRDefault="00000000" w:rsidRPr="00000000" w14:paraId="00000009">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Assess the current performance of the Aleph protocol with its existing Merkle Tree-based RBC in various network conditions.</w:t>
      </w:r>
    </w:p>
    <w:p w:rsidR="00000000" w:rsidDel="00000000" w:rsidP="00000000" w:rsidRDefault="00000000" w:rsidRPr="00000000" w14:paraId="0000000A">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w:t>
      </w:r>
      <w:r w:rsidDel="00000000" w:rsidR="00000000" w:rsidRPr="00000000">
        <w:rPr>
          <w:rFonts w:ascii="Times New Roman" w:cs="Times New Roman" w:eastAsia="Times New Roman" w:hAnsi="Times New Roman"/>
          <w:sz w:val="24"/>
          <w:szCs w:val="24"/>
          <w:rtl w:val="0"/>
        </w:rPr>
        <w:t xml:space="preserve"> Analyze communication complexity, transaction throughput, network latency, and resource utilization under different scenarios.</w:t>
      </w:r>
    </w:p>
    <w:p w:rsidR="00000000" w:rsidDel="00000000" w:rsidP="00000000" w:rsidRDefault="00000000" w:rsidRPr="00000000" w14:paraId="0000000B">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Integrate RSA Accumulators:</w:t>
      </w:r>
    </w:p>
    <w:p w:rsidR="00000000" w:rsidDel="00000000" w:rsidP="00000000" w:rsidRDefault="00000000" w:rsidRPr="00000000" w14:paraId="0000000C">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Implement RSA accumulator-based RBC within the Aleph protocol and measure the improvements in communication complexity, latency, and throughput.</w:t>
      </w:r>
    </w:p>
    <w:p w:rsidR="00000000" w:rsidDel="00000000" w:rsidP="00000000" w:rsidRDefault="00000000" w:rsidRPr="00000000" w14:paraId="0000000D">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w:t>
      </w:r>
      <w:r w:rsidDel="00000000" w:rsidR="00000000" w:rsidRPr="00000000">
        <w:rPr>
          <w:rFonts w:ascii="Times New Roman" w:cs="Times New Roman" w:eastAsia="Times New Roman" w:hAnsi="Times New Roman"/>
          <w:sz w:val="24"/>
          <w:szCs w:val="24"/>
          <w:rtl w:val="0"/>
        </w:rPr>
        <w:t xml:space="preserve"> Quantify the reduction in communication rounds, increase in transaction throughput, and decrease in network latency and resource utilization.</w:t>
      </w:r>
    </w:p>
    <w:p w:rsidR="00000000" w:rsidDel="00000000" w:rsidP="00000000" w:rsidRDefault="00000000" w:rsidRPr="00000000" w14:paraId="0000000E">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 and Contrast:</w:t>
      </w:r>
    </w:p>
    <w:p w:rsidR="00000000" w:rsidDel="00000000" w:rsidP="00000000" w:rsidRDefault="00000000" w:rsidRPr="00000000" w14:paraId="0000000F">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Conduct a comparative analysis of the Merkle Tree-based and RSA accumulator-based RBC implementations to quantify the effectiveness of the proposed improvement.</w:t>
      </w:r>
    </w:p>
    <w:p w:rsidR="00000000" w:rsidDel="00000000" w:rsidP="00000000" w:rsidRDefault="00000000" w:rsidRPr="00000000" w14:paraId="00000010">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w:t>
      </w:r>
      <w:r w:rsidDel="00000000" w:rsidR="00000000" w:rsidRPr="00000000">
        <w:rPr>
          <w:rFonts w:ascii="Times New Roman" w:cs="Times New Roman" w:eastAsia="Times New Roman" w:hAnsi="Times New Roman"/>
          <w:sz w:val="24"/>
          <w:szCs w:val="24"/>
          <w:rtl w:val="0"/>
        </w:rPr>
        <w:t xml:space="preserve"> Perform side-by-side comparisons of performance metrics such as communication complexity, throughput, latency, resource consumption, and communication rounds.</w:t>
      </w:r>
    </w:p>
    <w:p w:rsidR="00000000" w:rsidDel="00000000" w:rsidP="00000000" w:rsidRDefault="00000000" w:rsidRPr="00000000" w14:paraId="00000011">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Testing:</w:t>
      </w:r>
    </w:p>
    <w:p w:rsidR="00000000" w:rsidDel="00000000" w:rsidP="00000000" w:rsidRDefault="00000000" w:rsidRPr="00000000" w14:paraId="00000012">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Test the scalability of both the original and the improved Aleph protocol in large-scale network simulations to ensure it can handle increased node participation without significant performance degradation.</w:t>
      </w:r>
    </w:p>
    <w:p w:rsidR="00000000" w:rsidDel="00000000" w:rsidP="00000000" w:rsidRDefault="00000000" w:rsidRPr="00000000" w14:paraId="00000013">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w:t>
      </w:r>
      <w:r w:rsidDel="00000000" w:rsidR="00000000" w:rsidRPr="00000000">
        <w:rPr>
          <w:rFonts w:ascii="Times New Roman" w:cs="Times New Roman" w:eastAsia="Times New Roman" w:hAnsi="Times New Roman"/>
          <w:sz w:val="24"/>
          <w:szCs w:val="24"/>
          <w:rtl w:val="0"/>
        </w:rPr>
        <w:t xml:space="preserve"> Evaluate the protocol's performance with varying numbers of nodes and transaction loads, and monitor for any signs of bottlenecks or performance issues.</w:t>
      </w:r>
      <w:r w:rsidDel="00000000" w:rsidR="00000000" w:rsidRPr="00000000">
        <w:rPr>
          <w:rtl w:val="0"/>
        </w:rPr>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Projections:</w:t>
      </w:r>
    </w:p>
    <w:p w:rsidR="00000000" w:rsidDel="00000000" w:rsidP="00000000" w:rsidRDefault="00000000" w:rsidRPr="00000000" w14:paraId="00000015">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(AWS or school provided)</w:t>
      </w:r>
    </w:p>
    <w:p w:rsidR="00000000" w:rsidDel="00000000" w:rsidP="00000000" w:rsidRDefault="00000000" w:rsidRPr="00000000" w14:paraId="00000016">
      <w:pPr>
        <w:numPr>
          <w:ilvl w:val="0"/>
          <w:numId w:val="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Utilize AWS EC2 instances for hosting network nodes, consensus algorithms, and other protocol components.</w:t>
      </w:r>
    </w:p>
    <w:p w:rsidR="00000000" w:rsidDel="00000000" w:rsidP="00000000" w:rsidRDefault="00000000" w:rsidRPr="00000000" w14:paraId="00000017">
      <w:pPr>
        <w:numPr>
          <w:ilvl w:val="0"/>
          <w:numId w:val="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Employ AWS S3 buckets or EBS volumes for storing blockchain ledger data, transaction history, and protocol metadata.</w:t>
      </w:r>
    </w:p>
    <w:p w:rsidR="00000000" w:rsidDel="00000000" w:rsidP="00000000" w:rsidRDefault="00000000" w:rsidRPr="00000000" w14:paraId="00000018">
      <w:pPr>
        <w:numPr>
          <w:ilvl w:val="0"/>
          <w:numId w:val="3"/>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Utilize AWS VPCs, Route 53 for DNS resolution, and other networking services to manage communication between network nodes.</w:t>
      </w:r>
    </w:p>
    <w:p w:rsidR="00000000" w:rsidDel="00000000" w:rsidP="00000000" w:rsidRDefault="00000000" w:rsidRPr="00000000" w14:paraId="00000019">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Third-Party Libraries or Services for Bandwidth Control:</w:t>
      </w:r>
    </w:p>
    <w:p w:rsidR="00000000" w:rsidDel="00000000" w:rsidP="00000000" w:rsidRDefault="00000000" w:rsidRPr="00000000" w14:paraId="0000001A">
      <w:pPr>
        <w:numPr>
          <w:ilvl w:val="0"/>
          <w:numId w:val="1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bandwidth control within the protocol codebase using third-party libraries and services such as Apache Traffic Server (ATS), Nginx with Traffic Shaping Module, or libraries like </w:t>
      </w:r>
      <w:r w:rsidDel="00000000" w:rsidR="00000000" w:rsidRPr="00000000">
        <w:rPr>
          <w:rFonts w:ascii="Times New Roman" w:cs="Times New Roman" w:eastAsia="Times New Roman" w:hAnsi="Times New Roman"/>
          <w:sz w:val="24"/>
          <w:szCs w:val="24"/>
          <w:rtl w:val="0"/>
        </w:rPr>
        <w:t xml:space="preserve">tokio-ratelimit</w:t>
      </w:r>
      <w:r w:rsidDel="00000000" w:rsidR="00000000" w:rsidRPr="00000000">
        <w:rPr>
          <w:rFonts w:ascii="Times New Roman" w:cs="Times New Roman" w:eastAsia="Times New Roman" w:hAnsi="Times New Roman"/>
          <w:sz w:val="24"/>
          <w:szCs w:val="24"/>
          <w:rtl w:val="0"/>
        </w:rPr>
        <w:t xml:space="preserve"> for Rust.</w:t>
      </w:r>
    </w:p>
    <w:p w:rsidR="00000000" w:rsidDel="00000000" w:rsidP="00000000" w:rsidRDefault="00000000" w:rsidRPr="00000000" w14:paraId="0000001B">
      <w:pPr>
        <w:numPr>
          <w:ilvl w:val="0"/>
          <w:numId w:val="11"/>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AWS services like Amazon CloudFront or AWS Global Accelerator for content delivery and bandwidth optimization.</w:t>
      </w:r>
    </w:p>
    <w:p w:rsidR="00000000" w:rsidDel="00000000" w:rsidP="00000000" w:rsidRDefault="00000000" w:rsidRPr="00000000" w14:paraId="0000001C">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and Management Tools:</w:t>
      </w:r>
    </w:p>
    <w:p w:rsidR="00000000" w:rsidDel="00000000" w:rsidP="00000000" w:rsidRDefault="00000000" w:rsidRPr="00000000" w14:paraId="0000001D">
      <w:pPr>
        <w:numPr>
          <w:ilvl w:val="0"/>
          <w:numId w:val="4"/>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monitoring and management tools such as AWS CloudWatch, AWS Config, and AWS Systems Manager for monitoring resource utilization, performance metrics, and automated management of deployed resources.</w:t>
      </w:r>
    </w:p>
    <w:p w:rsidR="00000000" w:rsidDel="00000000" w:rsidP="00000000" w:rsidRDefault="00000000" w:rsidRPr="00000000" w14:paraId="0000001E">
      <w:pPr>
        <w:numPr>
          <w:ilvl w:val="0"/>
          <w:numId w:val="4"/>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third-party monitoring solutions for additional insights into network health, performance, and security.</w:t>
      </w:r>
    </w:p>
    <w:p w:rsidR="00000000" w:rsidDel="00000000" w:rsidP="00000000" w:rsidRDefault="00000000" w:rsidRPr="00000000" w14:paraId="0000001F">
      <w:pPr>
        <w:keepNext w:val="0"/>
        <w:keepLines w:val="0"/>
        <w:spacing w:before="2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Automation with Ansible and AWS CDK</w:t>
      </w:r>
    </w:p>
    <w:p w:rsidR="00000000" w:rsidDel="00000000" w:rsidP="00000000" w:rsidRDefault="00000000" w:rsidRPr="00000000" w14:paraId="00000020">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 as Code:</w:t>
      </w:r>
      <w:r w:rsidDel="00000000" w:rsidR="00000000" w:rsidRPr="00000000">
        <w:rPr>
          <w:rFonts w:ascii="Times New Roman" w:cs="Times New Roman" w:eastAsia="Times New Roman" w:hAnsi="Times New Roman"/>
          <w:sz w:val="24"/>
          <w:szCs w:val="24"/>
          <w:rtl w:val="0"/>
        </w:rPr>
        <w:t xml:space="preserve"> Define and deploy AWS infrastructure using AWS CDK, enabling version control and reproducibility.</w:t>
      </w:r>
    </w:p>
    <w:p w:rsidR="00000000" w:rsidDel="00000000" w:rsidP="00000000" w:rsidRDefault="00000000" w:rsidRPr="00000000" w14:paraId="00000021">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Management:</w:t>
      </w:r>
      <w:r w:rsidDel="00000000" w:rsidR="00000000" w:rsidRPr="00000000">
        <w:rPr>
          <w:rFonts w:ascii="Times New Roman" w:cs="Times New Roman" w:eastAsia="Times New Roman" w:hAnsi="Times New Roman"/>
          <w:sz w:val="24"/>
          <w:szCs w:val="24"/>
          <w:rtl w:val="0"/>
        </w:rPr>
        <w:t xml:space="preserve"> Use AWS CDK to model and provision compute resources (EC2 instances), storage solutions (S3, EBS), and networking configurations (VPCs, Route 53).</w:t>
      </w:r>
    </w:p>
    <w:p w:rsidR="00000000" w:rsidDel="00000000" w:rsidP="00000000" w:rsidRDefault="00000000" w:rsidRPr="00000000" w14:paraId="00000022">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 Automation:</w:t>
      </w:r>
      <w:r w:rsidDel="00000000" w:rsidR="00000000" w:rsidRPr="00000000">
        <w:rPr>
          <w:rFonts w:ascii="Times New Roman" w:cs="Times New Roman" w:eastAsia="Times New Roman" w:hAnsi="Times New Roman"/>
          <w:sz w:val="24"/>
          <w:szCs w:val="24"/>
          <w:rtl w:val="0"/>
        </w:rPr>
        <w:t xml:space="preserve"> Use Ansible playbooks to automate the provisioning and configuration of AWS EC2 instances, VPCs, S3 buckets, and other infrastructure components.</w:t>
      </w:r>
    </w:p>
    <w:p w:rsidR="00000000" w:rsidDel="00000000" w:rsidP="00000000" w:rsidRDefault="00000000" w:rsidRPr="00000000" w14:paraId="00000023">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 Management:</w:t>
      </w:r>
      <w:r w:rsidDel="00000000" w:rsidR="00000000" w:rsidRPr="00000000">
        <w:rPr>
          <w:rFonts w:ascii="Times New Roman" w:cs="Times New Roman" w:eastAsia="Times New Roman" w:hAnsi="Times New Roman"/>
          <w:sz w:val="24"/>
          <w:szCs w:val="24"/>
          <w:rtl w:val="0"/>
        </w:rPr>
        <w:t xml:space="preserve"> Manage the installation and configuration of third-party libraries for bandwidth control, monitoring tools, and security settings using Ansible.</w:t>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Milestones and Deliverables</w:t>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Scheduled completions</w:t>
      </w:r>
    </w:p>
    <w:p w:rsidR="00000000" w:rsidDel="00000000" w:rsidP="00000000" w:rsidRDefault="00000000" w:rsidRPr="00000000" w14:paraId="00000026">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1: Approval for Dissertation Research (ISEC885)</w:t>
      </w:r>
    </w:p>
    <w:p w:rsidR="00000000" w:rsidDel="00000000" w:rsidP="00000000" w:rsidRDefault="00000000" w:rsidRPr="00000000" w14:paraId="00000027">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Completion: [2024]</w:t>
      </w:r>
    </w:p>
    <w:p w:rsidR="00000000" w:rsidDel="00000000" w:rsidP="00000000" w:rsidRDefault="00000000" w:rsidRPr="00000000" w14:paraId="00000028">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w:t>
      </w:r>
    </w:p>
    <w:p w:rsidR="00000000" w:rsidDel="00000000" w:rsidP="00000000" w:rsidRDefault="00000000" w:rsidRPr="00000000" w14:paraId="00000029">
      <w:pPr>
        <w:numPr>
          <w:ilvl w:val="0"/>
          <w:numId w:val="8"/>
        </w:numPr>
        <w:spacing w:after="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documentation and research proposal outlining the objectives, methodology, and significance of the research project.</w:t>
      </w:r>
    </w:p>
    <w:p w:rsidR="00000000" w:rsidDel="00000000" w:rsidP="00000000" w:rsidRDefault="00000000" w:rsidRPr="00000000" w14:paraId="0000002A">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2: Redeploy Aleph on AWS and Measure (ISEC901 - 1)</w:t>
      </w:r>
    </w:p>
    <w:p w:rsidR="00000000" w:rsidDel="00000000" w:rsidP="00000000" w:rsidRDefault="00000000" w:rsidRPr="00000000" w14:paraId="0000002B">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Completion: [2025]</w:t>
      </w:r>
    </w:p>
    <w:p w:rsidR="00000000" w:rsidDel="00000000" w:rsidP="00000000" w:rsidRDefault="00000000" w:rsidRPr="00000000" w14:paraId="0000002C">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w:t>
      </w:r>
    </w:p>
    <w:p w:rsidR="00000000" w:rsidDel="00000000" w:rsidP="00000000" w:rsidRDefault="00000000" w:rsidRPr="00000000" w14:paraId="0000002D">
      <w:pPr>
        <w:numPr>
          <w:ilvl w:val="0"/>
          <w:numId w:val="1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Redeployment of Aleph protocol on AWS infrastructure.</w:t>
      </w:r>
    </w:p>
    <w:p w:rsidR="00000000" w:rsidDel="00000000" w:rsidP="00000000" w:rsidRDefault="00000000" w:rsidRPr="00000000" w14:paraId="0000002E">
      <w:pPr>
        <w:numPr>
          <w:ilvl w:val="0"/>
          <w:numId w:val="12"/>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of communication complexity and performance metrics or the original Aleph protocol.</w:t>
      </w:r>
    </w:p>
    <w:p w:rsidR="00000000" w:rsidDel="00000000" w:rsidP="00000000" w:rsidRDefault="00000000" w:rsidRPr="00000000" w14:paraId="0000002F">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3: Redeploy Aleph with RSA Accumulators and Measure (ISEC901 - 2)</w:t>
      </w:r>
    </w:p>
    <w:p w:rsidR="00000000" w:rsidDel="00000000" w:rsidP="00000000" w:rsidRDefault="00000000" w:rsidRPr="00000000" w14:paraId="00000030">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Completion: [2026]</w:t>
      </w:r>
    </w:p>
    <w:p w:rsidR="00000000" w:rsidDel="00000000" w:rsidP="00000000" w:rsidRDefault="00000000" w:rsidRPr="00000000" w14:paraId="00000031">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w:t>
      </w:r>
    </w:p>
    <w:p w:rsidR="00000000" w:rsidDel="00000000" w:rsidP="00000000" w:rsidRDefault="00000000" w:rsidRPr="00000000" w14:paraId="00000032">
      <w:pPr>
        <w:numPr>
          <w:ilvl w:val="0"/>
          <w:numId w:val="9"/>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RSA accumulators into the Aleph protocol.</w:t>
      </w:r>
    </w:p>
    <w:p w:rsidR="00000000" w:rsidDel="00000000" w:rsidP="00000000" w:rsidRDefault="00000000" w:rsidRPr="00000000" w14:paraId="00000033">
      <w:pPr>
        <w:numPr>
          <w:ilvl w:val="0"/>
          <w:numId w:val="9"/>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Redeployment of the modified Aleph protocol on AWS infrastructure.</w:t>
      </w:r>
    </w:p>
    <w:p w:rsidR="00000000" w:rsidDel="00000000" w:rsidP="00000000" w:rsidRDefault="00000000" w:rsidRPr="00000000" w14:paraId="00000034">
      <w:pPr>
        <w:numPr>
          <w:ilvl w:val="0"/>
          <w:numId w:val="9"/>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of communication complexity and performance metrics of the modified Aleph protocol with RSA accumulators.</w:t>
      </w:r>
    </w:p>
    <w:p w:rsidR="00000000" w:rsidDel="00000000" w:rsidP="00000000" w:rsidRDefault="00000000" w:rsidRPr="00000000" w14:paraId="00000035">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4: Compare and Contrast and Write Dissertation (ISEC901 - 3)</w:t>
      </w:r>
    </w:p>
    <w:p w:rsidR="00000000" w:rsidDel="00000000" w:rsidP="00000000" w:rsidRDefault="00000000" w:rsidRPr="00000000" w14:paraId="00000036">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Completion: [2026-2027]</w:t>
      </w:r>
    </w:p>
    <w:p w:rsidR="00000000" w:rsidDel="00000000" w:rsidP="00000000" w:rsidRDefault="00000000" w:rsidRPr="00000000" w14:paraId="00000037">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w:t>
      </w:r>
    </w:p>
    <w:p w:rsidR="00000000" w:rsidDel="00000000" w:rsidP="00000000" w:rsidRDefault="00000000" w:rsidRPr="00000000" w14:paraId="00000038">
      <w:pPr>
        <w:numPr>
          <w:ilvl w:val="0"/>
          <w:numId w:val="5"/>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 between the original Aleph protocol and the modified version with RSA accumulators.</w:t>
      </w:r>
    </w:p>
    <w:p w:rsidR="00000000" w:rsidDel="00000000" w:rsidP="00000000" w:rsidRDefault="00000000" w:rsidRPr="00000000" w14:paraId="00000039">
      <w:pPr>
        <w:numPr>
          <w:ilvl w:val="0"/>
          <w:numId w:val="5"/>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Dissertation document detailing the research methodology, findings, conclusions, and implications.</w:t>
      </w:r>
    </w:p>
    <w:p w:rsidR="00000000" w:rsidDel="00000000" w:rsidP="00000000" w:rsidRDefault="00000000" w:rsidRPr="00000000" w14:paraId="0000003A">
      <w:pPr>
        <w:numPr>
          <w:ilvl w:val="0"/>
          <w:numId w:val="5"/>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dissertation findings and defense.</w:t>
      </w:r>
    </w:p>
    <w:p w:rsidR="00000000" w:rsidDel="00000000" w:rsidP="00000000" w:rsidRDefault="00000000" w:rsidRPr="00000000" w14:paraId="0000003B">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I., Jovanovic, P., Maller, M., Meiklejohn, S., Stern, G., &amp; Tomescu, A. (2021). Reaching consensus for asynchronous distributed key generation. In </w:t>
      </w:r>
      <w:r w:rsidDel="00000000" w:rsidR="00000000" w:rsidRPr="00000000">
        <w:rPr>
          <w:rFonts w:ascii="Times New Roman" w:cs="Times New Roman" w:eastAsia="Times New Roman" w:hAnsi="Times New Roman"/>
          <w:i w:val="1"/>
          <w:sz w:val="24"/>
          <w:szCs w:val="24"/>
          <w:rtl w:val="0"/>
        </w:rPr>
        <w:t xml:space="preserve">Proceedings of the 2021 ACM Symposium on Principles of Distributed Computing</w:t>
      </w:r>
      <w:r w:rsidDel="00000000" w:rsidR="00000000" w:rsidRPr="00000000">
        <w:rPr>
          <w:rFonts w:ascii="Times New Roman" w:cs="Times New Roman" w:eastAsia="Times New Roman" w:hAnsi="Times New Roman"/>
          <w:sz w:val="24"/>
          <w:szCs w:val="24"/>
          <w:rtl w:val="0"/>
        </w:rPr>
        <w:t xml:space="preserve"> (pp. 363–373).</w:t>
      </w:r>
    </w:p>
    <w:p w:rsidR="00000000" w:rsidDel="00000000" w:rsidP="00000000" w:rsidRDefault="00000000" w:rsidRPr="00000000" w14:paraId="0000004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Baird, L., &amp; Luykx, A. (2020). The Hashgraph Protocol: Efficient Asynchronous BFT for High-Throughput Distributed Ledgers. </w:t>
      </w:r>
      <w:r w:rsidDel="00000000" w:rsidR="00000000" w:rsidRPr="00000000">
        <w:rPr>
          <w:rFonts w:ascii="Times New Roman" w:cs="Times New Roman" w:eastAsia="Times New Roman" w:hAnsi="Times New Roman"/>
          <w:i w:val="1"/>
          <w:sz w:val="24"/>
          <w:szCs w:val="24"/>
          <w:rtl w:val="0"/>
        </w:rPr>
        <w:t xml:space="preserve">International Conference on Omni-layer Intelligent Systems</w:t>
      </w:r>
      <w:r w:rsidDel="00000000" w:rsidR="00000000" w:rsidRPr="00000000">
        <w:rPr>
          <w:rFonts w:ascii="Times New Roman" w:cs="Times New Roman" w:eastAsia="Times New Roman" w:hAnsi="Times New Roman"/>
          <w:sz w:val="24"/>
          <w:szCs w:val="24"/>
          <w:rtl w:val="0"/>
        </w:rPr>
        <w:t xml:space="preserve"> (pp. 1-7).</w:t>
      </w:r>
      <w:hyperlink r:id="rId6">
        <w:r w:rsidDel="00000000" w:rsidR="00000000" w:rsidRPr="00000000">
          <w:rPr>
            <w:rFonts w:ascii="Times New Roman" w:cs="Times New Roman" w:eastAsia="Times New Roman" w:hAnsi="Times New Roman"/>
            <w:color w:val="1155cc"/>
            <w:sz w:val="24"/>
            <w:szCs w:val="24"/>
            <w:u w:val="single"/>
            <w:rtl w:val="0"/>
          </w:rPr>
          <w:t xml:space="preserve"> https://doi.org/10.1109/COINS49042.2020.9191430</w:t>
        </w:r>
      </w:hyperlink>
      <w:r w:rsidDel="00000000" w:rsidR="00000000" w:rsidRPr="00000000">
        <w:rPr>
          <w:rtl w:val="0"/>
        </w:rPr>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Boldyreva, A. (2002). Threshold signatures, multisignatures and blind signatures based on the gap-diffie-hellman-group signature scheme. In </w:t>
      </w:r>
      <w:r w:rsidDel="00000000" w:rsidR="00000000" w:rsidRPr="00000000">
        <w:rPr>
          <w:rFonts w:ascii="Times New Roman" w:cs="Times New Roman" w:eastAsia="Times New Roman" w:hAnsi="Times New Roman"/>
          <w:i w:val="1"/>
          <w:sz w:val="24"/>
          <w:szCs w:val="24"/>
          <w:rtl w:val="0"/>
        </w:rPr>
        <w:t xml:space="preserve">Public key cryptography–PKC 2003</w:t>
      </w:r>
      <w:r w:rsidDel="00000000" w:rsidR="00000000" w:rsidRPr="00000000">
        <w:rPr>
          <w:rFonts w:ascii="Times New Roman" w:cs="Times New Roman" w:eastAsia="Times New Roman" w:hAnsi="Times New Roman"/>
          <w:sz w:val="24"/>
          <w:szCs w:val="24"/>
          <w:rtl w:val="0"/>
        </w:rPr>
        <w:t xml:space="preserve"> (pp. 31–46). Springer.</w:t>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S., Xiang, Z., &amp; Ren, L. (2020). Asynchronous data dissemination and its applications. In </w:t>
      </w:r>
      <w:r w:rsidDel="00000000" w:rsidR="00000000" w:rsidRPr="00000000">
        <w:rPr>
          <w:rFonts w:ascii="Times New Roman" w:cs="Times New Roman" w:eastAsia="Times New Roman" w:hAnsi="Times New Roman"/>
          <w:i w:val="1"/>
          <w:sz w:val="24"/>
          <w:szCs w:val="24"/>
          <w:rtl w:val="0"/>
        </w:rPr>
        <w:t xml:space="preserve">Proceedings of the 2021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Djari, A., Anceaume, E., &amp; Tucci-Piergiovanni, S. (2022). An extensive agent-based simulation study of sycomore++, a DAG-based permissionless ledger. In </w:t>
      </w:r>
      <w:r w:rsidDel="00000000" w:rsidR="00000000" w:rsidRPr="00000000">
        <w:rPr>
          <w:rFonts w:ascii="Times New Roman" w:cs="Times New Roman" w:eastAsia="Times New Roman" w:hAnsi="Times New Roman"/>
          <w:i w:val="1"/>
          <w:sz w:val="24"/>
          <w:szCs w:val="24"/>
          <w:rtl w:val="0"/>
        </w:rPr>
        <w:t xml:space="preserve">Proceedings of the 37th ACM/SIGAPP Symposium on Applied Computing</w:t>
      </w:r>
      <w:r w:rsidDel="00000000" w:rsidR="00000000" w:rsidRPr="00000000">
        <w:rPr>
          <w:rFonts w:ascii="Times New Roman" w:cs="Times New Roman" w:eastAsia="Times New Roman" w:hAnsi="Times New Roman"/>
          <w:sz w:val="24"/>
          <w:szCs w:val="24"/>
          <w:rtl w:val="0"/>
        </w:rPr>
        <w:t xml:space="preserve"> (pp. 334–336). Association for Computing Machinery.</w:t>
      </w:r>
      <w:hyperlink r:id="rId7">
        <w:r w:rsidDel="00000000" w:rsidR="00000000" w:rsidRPr="00000000">
          <w:rPr>
            <w:rFonts w:ascii="Times New Roman" w:cs="Times New Roman" w:eastAsia="Times New Roman" w:hAnsi="Times New Roman"/>
            <w:color w:val="1155cc"/>
            <w:sz w:val="24"/>
            <w:szCs w:val="24"/>
            <w:u w:val="single"/>
            <w:rtl w:val="0"/>
          </w:rPr>
          <w:t xml:space="preserve"> https://doi-org.ezproxylocal.library.nova.edu/10.1145/3477314.3507245</w:t>
        </w:r>
      </w:hyperlink>
      <w:r w:rsidDel="00000000" w:rsidR="00000000" w:rsidRPr="00000000">
        <w:rPr>
          <w:rtl w:val="0"/>
        </w:rPr>
      </w:r>
    </w:p>
    <w:p w:rsidR="00000000" w:rsidDel="00000000" w:rsidP="00000000" w:rsidRDefault="00000000" w:rsidRPr="00000000" w14:paraId="0000004B">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Duan, S., Reiter, M., &amp; Zhang, H. (2018). Beat: Asynchronous BFT Made Practical. In </w:t>
      </w:r>
      <w:r w:rsidDel="00000000" w:rsidR="00000000" w:rsidRPr="00000000">
        <w:rPr>
          <w:rFonts w:ascii="Times New Roman" w:cs="Times New Roman" w:eastAsia="Times New Roman" w:hAnsi="Times New Roman"/>
          <w:i w:val="1"/>
          <w:sz w:val="24"/>
          <w:szCs w:val="24"/>
          <w:rtl w:val="0"/>
        </w:rPr>
        <w:t xml:space="preserve">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(pp. 2028–2041).</w:t>
      </w:r>
      <w:hyperlink r:id="rId8">
        <w:r w:rsidDel="00000000" w:rsidR="00000000" w:rsidRPr="00000000">
          <w:rPr>
            <w:rFonts w:ascii="Times New Roman" w:cs="Times New Roman" w:eastAsia="Times New Roman" w:hAnsi="Times New Roman"/>
            <w:color w:val="1155cc"/>
            <w:sz w:val="24"/>
            <w:szCs w:val="24"/>
            <w:u w:val="single"/>
            <w:rtl w:val="0"/>
          </w:rPr>
          <w:t xml:space="preserve"> https://doi.org/10.1145/3243734.3243812</w:t>
        </w:r>
      </w:hyperlink>
      <w:r w:rsidDel="00000000" w:rsidR="00000000" w:rsidRPr="00000000">
        <w:rPr>
          <w:rtl w:val="0"/>
        </w:rPr>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Fischer, M. J., Lynch, N. A., &amp; Paterson, M. S. (1982). Impossibility of distributed consensus with one faulty process (Technical Report No. MIT/LCS/TR-728). Massachusetts Institute of Technology, Laboratory for Computer Science, Cambridge.</w:t>
      </w:r>
    </w:p>
    <w:p w:rsidR="00000000" w:rsidDel="00000000" w:rsidP="00000000" w:rsidRDefault="00000000" w:rsidRPr="00000000" w14:paraId="0000004D">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Gągol, A., Leśniak, D., Straszak, D., &amp; Świętek, M. (2019). Aleph: Efficient atomic broadcast in asynchronous networks with Byzantine nodes. In </w:t>
      </w:r>
      <w:r w:rsidDel="00000000" w:rsidR="00000000" w:rsidRPr="00000000">
        <w:rPr>
          <w:rFonts w:ascii="Times New Roman" w:cs="Times New Roman" w:eastAsia="Times New Roman" w:hAnsi="Times New Roman"/>
          <w:i w:val="1"/>
          <w:sz w:val="24"/>
          <w:szCs w:val="24"/>
          <w:rtl w:val="0"/>
        </w:rPr>
        <w:t xml:space="preserve">Proceedings of the 1st ACM Conference on Advances in Financial Technologies (AFT '19)</w:t>
      </w:r>
      <w:r w:rsidDel="00000000" w:rsidR="00000000" w:rsidRPr="00000000">
        <w:rPr>
          <w:rFonts w:ascii="Times New Roman" w:cs="Times New Roman" w:eastAsia="Times New Roman" w:hAnsi="Times New Roman"/>
          <w:sz w:val="24"/>
          <w:szCs w:val="24"/>
          <w:rtl w:val="0"/>
        </w:rPr>
        <w:t xml:space="preserve"> (pp. 214–228). Association for Computing Machinery.</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https://doi.org/10.1145/3318041.3355467</w:t>
        </w:r>
      </w:hyperlink>
      <w:r w:rsidDel="00000000" w:rsidR="00000000" w:rsidRPr="00000000">
        <w:rPr>
          <w:rtl w:val="0"/>
        </w:rPr>
      </w:r>
    </w:p>
    <w:p w:rsidR="00000000" w:rsidDel="00000000" w:rsidP="00000000" w:rsidRDefault="00000000" w:rsidRPr="00000000" w14:paraId="0000004E">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Gao, Y., Lu, Y., Lu, Z., Tang, Q., Xu, J., &amp; Zhang, Z. (2022). Dumbo-NG: Fast Asynchronous BFT Consensus with Throughput-Oblivious Latency. In </w:t>
      </w:r>
      <w:r w:rsidDel="00000000" w:rsidR="00000000" w:rsidRPr="00000000">
        <w:rPr>
          <w:rFonts w:ascii="Times New Roman" w:cs="Times New Roman" w:eastAsia="Times New Roman" w:hAnsi="Times New Roman"/>
          <w:i w:val="1"/>
          <w:sz w:val="24"/>
          <w:szCs w:val="24"/>
          <w:rtl w:val="0"/>
        </w:rPr>
        <w:t xml:space="preserve">Proceedings of the 2022 ACM SIGSAC Conference on Computer and Communications Security (CCS '22)</w:t>
      </w:r>
      <w:r w:rsidDel="00000000" w:rsidR="00000000" w:rsidRPr="00000000">
        <w:rPr>
          <w:rFonts w:ascii="Times New Roman" w:cs="Times New Roman" w:eastAsia="Times New Roman" w:hAnsi="Times New Roman"/>
          <w:sz w:val="24"/>
          <w:szCs w:val="24"/>
          <w:rtl w:val="0"/>
        </w:rPr>
        <w:t xml:space="preserve"> (p. 1187–1201). Association for Computing Machinery.</w:t>
      </w:r>
      <w:hyperlink r:id="rId11">
        <w:r w:rsidDel="00000000" w:rsidR="00000000" w:rsidRPr="00000000">
          <w:rPr>
            <w:rFonts w:ascii="Times New Roman" w:cs="Times New Roman" w:eastAsia="Times New Roman" w:hAnsi="Times New Roman"/>
            <w:color w:val="1155cc"/>
            <w:sz w:val="24"/>
            <w:szCs w:val="24"/>
            <w:u w:val="single"/>
            <w:rtl w:val="0"/>
          </w:rPr>
          <w:t xml:space="preserve"> https://doi.org/10.1145/3548606.3559379</w:t>
        </w:r>
      </w:hyperlink>
      <w:r w:rsidDel="00000000" w:rsidR="00000000" w:rsidRPr="00000000">
        <w:rPr>
          <w:rtl w:val="0"/>
        </w:rPr>
      </w:r>
    </w:p>
    <w:p w:rsidR="00000000" w:rsidDel="00000000" w:rsidP="00000000" w:rsidRDefault="00000000" w:rsidRPr="00000000" w14:paraId="0000004F">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Gennaro, R., Jarecki, S., Krawczyk, H., &amp; Rabin, T. (2003). Secure Applications of Pedersen’s Distributed Key Generation Protocol. In </w:t>
      </w:r>
      <w:r w:rsidDel="00000000" w:rsidR="00000000" w:rsidRPr="00000000">
        <w:rPr>
          <w:rFonts w:ascii="Times New Roman" w:cs="Times New Roman" w:eastAsia="Times New Roman" w:hAnsi="Times New Roman"/>
          <w:i w:val="1"/>
          <w:sz w:val="24"/>
          <w:szCs w:val="24"/>
          <w:rtl w:val="0"/>
        </w:rPr>
        <w:t xml:space="preserve">Topics in Cryptology - CT-RSA 2003, The Cryptographers’ Track at the RSA Conference 2003, San Francisco, CA, USA, April 13-17, 2003, Proceedings</w:t>
      </w:r>
      <w:r w:rsidDel="00000000" w:rsidR="00000000" w:rsidRPr="00000000">
        <w:rPr>
          <w:rFonts w:ascii="Times New Roman" w:cs="Times New Roman" w:eastAsia="Times New Roman" w:hAnsi="Times New Roman"/>
          <w:sz w:val="24"/>
          <w:szCs w:val="24"/>
          <w:rtl w:val="0"/>
        </w:rPr>
        <w:t xml:space="preserve"> (pp. 373–390).</w:t>
      </w:r>
      <w:hyperlink r:id="rId12">
        <w:r w:rsidDel="00000000" w:rsidR="00000000" w:rsidRPr="00000000">
          <w:rPr>
            <w:rFonts w:ascii="Times New Roman" w:cs="Times New Roman" w:eastAsia="Times New Roman" w:hAnsi="Times New Roman"/>
            <w:color w:val="1155cc"/>
            <w:sz w:val="24"/>
            <w:szCs w:val="24"/>
            <w:u w:val="single"/>
            <w:rtl w:val="0"/>
          </w:rPr>
          <w:t xml:space="preserve"> https://doi.org/10.1007/3-540-36563-X_26</w:t>
        </w:r>
      </w:hyperlink>
      <w:r w:rsidDel="00000000" w:rsidR="00000000" w:rsidRPr="00000000">
        <w:rPr>
          <w:rtl w:val="0"/>
        </w:rPr>
      </w:r>
    </w:p>
    <w:p w:rsidR="00000000" w:rsidDel="00000000" w:rsidP="00000000" w:rsidRDefault="00000000" w:rsidRPr="00000000" w14:paraId="00000050">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Gennaro, R., Jarecki, S., Krawczyk, H., &amp; Rabin, T. (2007). Secure Distributed Key Generation for Discrete-Log Based Cryptosystems. </w:t>
      </w:r>
      <w:r w:rsidDel="00000000" w:rsidR="00000000" w:rsidRPr="00000000">
        <w:rPr>
          <w:rFonts w:ascii="Times New Roman" w:cs="Times New Roman" w:eastAsia="Times New Roman" w:hAnsi="Times New Roman"/>
          <w:i w:val="1"/>
          <w:sz w:val="24"/>
          <w:szCs w:val="24"/>
          <w:rtl w:val="0"/>
        </w:rPr>
        <w:t xml:space="preserve">Journal of Cryptology, 20</w:t>
      </w:r>
      <w:r w:rsidDel="00000000" w:rsidR="00000000" w:rsidRPr="00000000">
        <w:rPr>
          <w:rFonts w:ascii="Times New Roman" w:cs="Times New Roman" w:eastAsia="Times New Roman" w:hAnsi="Times New Roman"/>
          <w:sz w:val="24"/>
          <w:szCs w:val="24"/>
          <w:rtl w:val="0"/>
        </w:rPr>
        <w:t xml:space="preserve">(1), 51–83.</w:t>
      </w:r>
      <w:hyperlink r:id="rId13">
        <w:r w:rsidDel="00000000" w:rsidR="00000000" w:rsidRPr="00000000">
          <w:rPr>
            <w:rFonts w:ascii="Times New Roman" w:cs="Times New Roman" w:eastAsia="Times New Roman" w:hAnsi="Times New Roman"/>
            <w:color w:val="1155cc"/>
            <w:sz w:val="24"/>
            <w:szCs w:val="24"/>
            <w:u w:val="single"/>
            <w:rtl w:val="0"/>
          </w:rPr>
          <w:t xml:space="preserve"> https://doi.org/10.1007/s00145-006-0347-3</w:t>
        </w:r>
      </w:hyperlink>
      <w:r w:rsidDel="00000000" w:rsidR="00000000" w:rsidRPr="00000000">
        <w:rPr>
          <w:rtl w:val="0"/>
        </w:rPr>
      </w:r>
    </w:p>
    <w:p w:rsidR="00000000" w:rsidDel="00000000" w:rsidP="00000000" w:rsidRDefault="00000000" w:rsidRPr="00000000" w14:paraId="00000051">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Guo, B., Lu, Z., Tang, Q., Xu, J., &amp; Zhang, Z. (2020). Dumbo: Faster Asynchronous BFT Protocols.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Communications Security (CCS '20)</w:t>
      </w:r>
      <w:r w:rsidDel="00000000" w:rsidR="00000000" w:rsidRPr="00000000">
        <w:rPr>
          <w:rFonts w:ascii="Times New Roman" w:cs="Times New Roman" w:eastAsia="Times New Roman" w:hAnsi="Times New Roman"/>
          <w:sz w:val="24"/>
          <w:szCs w:val="24"/>
          <w:rtl w:val="0"/>
        </w:rPr>
        <w:t xml:space="preserve"> (pp. 803–818). Association for Computing Machinery.</w:t>
      </w:r>
      <w:hyperlink r:id="rId14">
        <w:r w:rsidDel="00000000" w:rsidR="00000000" w:rsidRPr="00000000">
          <w:rPr>
            <w:rFonts w:ascii="Times New Roman" w:cs="Times New Roman" w:eastAsia="Times New Roman" w:hAnsi="Times New Roman"/>
            <w:color w:val="1155cc"/>
            <w:sz w:val="24"/>
            <w:szCs w:val="24"/>
            <w:u w:val="single"/>
            <w:rtl w:val="0"/>
          </w:rPr>
          <w:t xml:space="preserve"> https://doi.org/10.1145/3372297.3417262</w:t>
        </w:r>
      </w:hyperlink>
      <w:r w:rsidDel="00000000" w:rsidR="00000000" w:rsidRPr="00000000">
        <w:rPr>
          <w:rtl w:val="0"/>
        </w:rPr>
      </w:r>
    </w:p>
    <w:p w:rsidR="00000000" w:rsidDel="00000000" w:rsidP="00000000" w:rsidRDefault="00000000" w:rsidRPr="00000000" w14:paraId="0000005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B., Lu, Y., Lu, Z., Tang, Q., Xu, J., &amp; Zhang, Z. (2022). Speeding Dumbo: Pushing Asynchronous BFT Closer to Practice. doi:10.14722/ndss.2022.24385</w:t>
      </w:r>
    </w:p>
    <w:p w:rsidR="00000000" w:rsidDel="00000000" w:rsidP="00000000" w:rsidRDefault="00000000" w:rsidRPr="00000000" w14:paraId="00000053">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Hood, K., Oglio, J., Nesterenko, M., &amp; Sharma, G. (2021). Partitionable Asynchronous Cryptocurrency Blockchain. </w:t>
      </w:r>
      <w:r w:rsidDel="00000000" w:rsidR="00000000" w:rsidRPr="00000000">
        <w:rPr>
          <w:rFonts w:ascii="Times New Roman" w:cs="Times New Roman" w:eastAsia="Times New Roman" w:hAnsi="Times New Roman"/>
          <w:i w:val="1"/>
          <w:sz w:val="24"/>
          <w:szCs w:val="24"/>
          <w:rtl w:val="0"/>
        </w:rPr>
        <w:t xml:space="preserve">IEEE International Conference on Blockchain and Cryptocurrency</w:t>
      </w:r>
      <w:r w:rsidDel="00000000" w:rsidR="00000000" w:rsidRPr="00000000">
        <w:rPr>
          <w:rFonts w:ascii="Times New Roman" w:cs="Times New Roman" w:eastAsia="Times New Roman" w:hAnsi="Times New Roman"/>
          <w:sz w:val="24"/>
          <w:szCs w:val="24"/>
          <w:rtl w:val="0"/>
        </w:rPr>
        <w:t xml:space="preserve"> (pp. 1-9).</w:t>
      </w:r>
      <w:hyperlink r:id="rId15">
        <w:r w:rsidDel="00000000" w:rsidR="00000000" w:rsidRPr="00000000">
          <w:rPr>
            <w:rFonts w:ascii="Times New Roman" w:cs="Times New Roman" w:eastAsia="Times New Roman" w:hAnsi="Times New Roman"/>
            <w:color w:val="1155cc"/>
            <w:sz w:val="24"/>
            <w:szCs w:val="24"/>
            <w:u w:val="single"/>
            <w:rtl w:val="0"/>
          </w:rPr>
          <w:t xml:space="preserve"> https://doi.org/10.1109/ICBC51069.2021.9461080</w:t>
        </w:r>
      </w:hyperlink>
      <w:r w:rsidDel="00000000" w:rsidR="00000000" w:rsidRPr="00000000">
        <w:rPr>
          <w:rtl w:val="0"/>
        </w:rPr>
      </w:r>
    </w:p>
    <w:p w:rsidR="00000000" w:rsidDel="00000000" w:rsidP="00000000" w:rsidRDefault="00000000" w:rsidRPr="00000000" w14:paraId="0000005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Hussein, K. M., &amp; Al-Gailani, M. F. (2022). An Efficient Bandwidth Based on the Cryptographic Technique of the RSA Accumulator in Block Chain Networks. In 2022 Fifth College of Science International Conference of Recent Trends in Information Technology (CSCTIT) (pp. 164-168). Baghdad, Iraq. doi:10.1109/CSCTIT56299.2022.10145614</w:t>
      </w:r>
    </w:p>
    <w:p w:rsidR="00000000" w:rsidDel="00000000" w:rsidP="00000000" w:rsidRDefault="00000000" w:rsidRPr="00000000" w14:paraId="00000055">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Kogias, E. K., Malkhi, D., &amp; Spiegelman, A. (2020). Asynchronous Distributed Key Generation for Computationally-Secure Randomness, Consensus, and Threshold Signatures.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Communications Security (CCS '20)</w:t>
      </w:r>
      <w:r w:rsidDel="00000000" w:rsidR="00000000" w:rsidRPr="00000000">
        <w:rPr>
          <w:rFonts w:ascii="Times New Roman" w:cs="Times New Roman" w:eastAsia="Times New Roman" w:hAnsi="Times New Roman"/>
          <w:sz w:val="24"/>
          <w:szCs w:val="24"/>
          <w:rtl w:val="0"/>
        </w:rPr>
        <w:t xml:space="preserve"> (pp. 1751–1767). Association for Computing Machinery.</w:t>
      </w:r>
      <w:hyperlink r:id="rId16">
        <w:r w:rsidDel="00000000" w:rsidR="00000000" w:rsidRPr="00000000">
          <w:rPr>
            <w:rFonts w:ascii="Times New Roman" w:cs="Times New Roman" w:eastAsia="Times New Roman" w:hAnsi="Times New Roman"/>
            <w:color w:val="1155cc"/>
            <w:sz w:val="24"/>
            <w:szCs w:val="24"/>
            <w:u w:val="single"/>
            <w:rtl w:val="0"/>
          </w:rPr>
          <w:t xml:space="preserve"> https://doi.org/10.1145/3372297.3423364</w:t>
        </w:r>
      </w:hyperlink>
      <w:r w:rsidDel="00000000" w:rsidR="00000000" w:rsidRPr="00000000">
        <w:rPr>
          <w:rtl w:val="0"/>
        </w:rPr>
      </w:r>
    </w:p>
    <w:p w:rsidR="00000000" w:rsidDel="00000000" w:rsidP="00000000" w:rsidRDefault="00000000" w:rsidRPr="00000000" w14:paraId="00000056">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Knudsen, H., Li, J., Notland, J., Haro, P., &amp; Ræder, T. (2021). High-Performance Asynchronous Byzantine Fault Tolerance Consensus Protocol. </w:t>
      </w:r>
      <w:r w:rsidDel="00000000" w:rsidR="00000000" w:rsidRPr="00000000">
        <w:rPr>
          <w:rFonts w:ascii="Times New Roman" w:cs="Times New Roman" w:eastAsia="Times New Roman" w:hAnsi="Times New Roman"/>
          <w:i w:val="1"/>
          <w:sz w:val="24"/>
          <w:szCs w:val="24"/>
          <w:rtl w:val="0"/>
        </w:rPr>
        <w:t xml:space="preserve">IEEE International Conference on Blockchain</w:t>
      </w:r>
      <w:r w:rsidDel="00000000" w:rsidR="00000000" w:rsidRPr="00000000">
        <w:rPr>
          <w:rFonts w:ascii="Times New Roman" w:cs="Times New Roman" w:eastAsia="Times New Roman" w:hAnsi="Times New Roman"/>
          <w:sz w:val="24"/>
          <w:szCs w:val="24"/>
          <w:rtl w:val="0"/>
        </w:rPr>
        <w:t xml:space="preserve"> (pp. 476-483).</w:t>
      </w:r>
      <w:hyperlink r:id="rId17">
        <w:r w:rsidDel="00000000" w:rsidR="00000000" w:rsidRPr="00000000">
          <w:rPr>
            <w:rFonts w:ascii="Times New Roman" w:cs="Times New Roman" w:eastAsia="Times New Roman" w:hAnsi="Times New Roman"/>
            <w:color w:val="1155cc"/>
            <w:sz w:val="24"/>
            <w:szCs w:val="24"/>
            <w:u w:val="single"/>
            <w:rtl w:val="0"/>
          </w:rPr>
          <w:t xml:space="preserve"> https://doi.org/10.1109/Blockchain53845.2021.00073</w:t>
        </w:r>
      </w:hyperlink>
      <w:r w:rsidDel="00000000" w:rsidR="00000000" w:rsidRPr="00000000">
        <w:rPr>
          <w:rtl w:val="0"/>
        </w:rPr>
      </w:r>
    </w:p>
    <w:p w:rsidR="00000000" w:rsidDel="00000000" w:rsidP="00000000" w:rsidRDefault="00000000" w:rsidRPr="00000000" w14:paraId="0000005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Lauinger, J., Ernstberger, J., Regnath, E., Hamad, M., &amp; Steinhorst, S. (2021). A-PoA: Anonymous Proof of Authorization for Decentralized Identity Management. In </w:t>
      </w:r>
      <w:r w:rsidDel="00000000" w:rsidR="00000000" w:rsidRPr="00000000">
        <w:rPr>
          <w:rFonts w:ascii="Times New Roman" w:cs="Times New Roman" w:eastAsia="Times New Roman" w:hAnsi="Times New Roman"/>
          <w:i w:val="1"/>
          <w:sz w:val="24"/>
          <w:szCs w:val="24"/>
          <w:rtl w:val="0"/>
        </w:rPr>
        <w:t xml:space="preserve">2021 IEEE International Conference on Blockchain and Cryptocurrency (ICBC)</w:t>
      </w:r>
      <w:r w:rsidDel="00000000" w:rsidR="00000000" w:rsidRPr="00000000">
        <w:rPr>
          <w:rFonts w:ascii="Times New Roman" w:cs="Times New Roman" w:eastAsia="Times New Roman" w:hAnsi="Times New Roman"/>
          <w:sz w:val="24"/>
          <w:szCs w:val="24"/>
          <w:rtl w:val="0"/>
        </w:rPr>
        <w:t xml:space="preserve"> (pp. 1-9). Sydney, Australia. doi:10.1109/ICBC51069.2021.9461082.</w:t>
      </w:r>
    </w:p>
    <w:p w:rsidR="00000000" w:rsidDel="00000000" w:rsidP="00000000" w:rsidRDefault="00000000" w:rsidRPr="00000000" w14:paraId="00000058">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Miller, A., Xia, Y., Croman, K., Shi, E., &amp; Song, D. (2016). The Honey Badger of BFT Protocols. </w:t>
      </w:r>
      <w:r w:rsidDel="00000000" w:rsidR="00000000" w:rsidRPr="00000000">
        <w:rPr>
          <w:rFonts w:ascii="Times New Roman" w:cs="Times New Roman" w:eastAsia="Times New Roman" w:hAnsi="Times New Roman"/>
          <w:i w:val="1"/>
          <w:sz w:val="24"/>
          <w:szCs w:val="24"/>
          <w:rtl w:val="0"/>
        </w:rPr>
        <w:t xml:space="preserve">Proceedings of the 2016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(pp. 31–42).</w:t>
      </w:r>
      <w:hyperlink r:id="rId18">
        <w:r w:rsidDel="00000000" w:rsidR="00000000" w:rsidRPr="00000000">
          <w:rPr>
            <w:rFonts w:ascii="Times New Roman" w:cs="Times New Roman" w:eastAsia="Times New Roman" w:hAnsi="Times New Roman"/>
            <w:color w:val="1155cc"/>
            <w:sz w:val="24"/>
            <w:szCs w:val="24"/>
            <w:u w:val="single"/>
            <w:rtl w:val="0"/>
          </w:rPr>
          <w:t xml:space="preserve"> https://doi.org/10.1145/2976749.2978399</w:t>
        </w:r>
      </w:hyperlink>
      <w:r w:rsidDel="00000000" w:rsidR="00000000" w:rsidRPr="00000000">
        <w:rPr>
          <w:rtl w:val="0"/>
        </w:rPr>
      </w:r>
    </w:p>
    <w:p w:rsidR="00000000" w:rsidDel="00000000" w:rsidP="00000000" w:rsidRDefault="00000000" w:rsidRPr="00000000" w14:paraId="0000005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Nakamoto, S. (2008). Bitcoin: A Peer-to-Peer Electronic Cash System. Retrieved from https://bitcoin.org/bitcoin.pdf</w:t>
      </w:r>
    </w:p>
    <w:p w:rsidR="00000000" w:rsidDel="00000000" w:rsidP="00000000" w:rsidRDefault="00000000" w:rsidRPr="00000000" w14:paraId="0000005A">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Ramakrishna Kotla, Lorenzo Alvisi, Michael Dahlin, Allen Clement, and Edmund L. Wong. (2009). Zyzzyva: Speculative Byzantine fault tolerance. </w:t>
      </w:r>
      <w:r w:rsidDel="00000000" w:rsidR="00000000" w:rsidRPr="00000000">
        <w:rPr>
          <w:rFonts w:ascii="Times New Roman" w:cs="Times New Roman" w:eastAsia="Times New Roman" w:hAnsi="Times New Roman"/>
          <w:i w:val="1"/>
          <w:sz w:val="24"/>
          <w:szCs w:val="24"/>
          <w:rtl w:val="0"/>
        </w:rPr>
        <w:t xml:space="preserve">ACM Transactions on Computer Systems (TOCS), 27</w:t>
      </w:r>
      <w:r w:rsidDel="00000000" w:rsidR="00000000" w:rsidRPr="00000000">
        <w:rPr>
          <w:rFonts w:ascii="Times New Roman" w:cs="Times New Roman" w:eastAsia="Times New Roman" w:hAnsi="Times New Roman"/>
          <w:sz w:val="24"/>
          <w:szCs w:val="24"/>
          <w:rtl w:val="0"/>
        </w:rPr>
        <w:t xml:space="preserve">(4), 7:1–7:39.</w:t>
      </w:r>
      <w:hyperlink r:id="rId19">
        <w:r w:rsidDel="00000000" w:rsidR="00000000" w:rsidRPr="00000000">
          <w:rPr>
            <w:rFonts w:ascii="Times New Roman" w:cs="Times New Roman" w:eastAsia="Times New Roman" w:hAnsi="Times New Roman"/>
            <w:color w:val="1155cc"/>
            <w:sz w:val="24"/>
            <w:szCs w:val="24"/>
            <w:u w:val="single"/>
            <w:rtl w:val="0"/>
          </w:rPr>
          <w:t xml:space="preserve"> https://doi.org/10.1145/1658357.1658358</w:t>
        </w:r>
      </w:hyperlink>
      <w:r w:rsidDel="00000000" w:rsidR="00000000" w:rsidRPr="00000000">
        <w:rPr>
          <w:rtl w:val="0"/>
        </w:rPr>
      </w:r>
    </w:p>
    <w:p w:rsidR="00000000" w:rsidDel="00000000" w:rsidP="00000000" w:rsidRDefault="00000000" w:rsidRPr="00000000" w14:paraId="0000005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Reddy, B. S. (2021). securePrune: Secure block pruning in UTXO based blockchains using Accumulators. In </w:t>
      </w:r>
      <w:r w:rsidDel="00000000" w:rsidR="00000000" w:rsidRPr="00000000">
        <w:rPr>
          <w:rFonts w:ascii="Times New Roman" w:cs="Times New Roman" w:eastAsia="Times New Roman" w:hAnsi="Times New Roman"/>
          <w:i w:val="1"/>
          <w:sz w:val="24"/>
          <w:szCs w:val="24"/>
          <w:rtl w:val="0"/>
        </w:rPr>
        <w:t xml:space="preserve">2021 International Conference on COMmunication Systems &amp; NETworkS (COMSNETS)</w:t>
      </w:r>
      <w:r w:rsidDel="00000000" w:rsidR="00000000" w:rsidRPr="00000000">
        <w:rPr>
          <w:rFonts w:ascii="Times New Roman" w:cs="Times New Roman" w:eastAsia="Times New Roman" w:hAnsi="Times New Roman"/>
          <w:sz w:val="24"/>
          <w:szCs w:val="24"/>
          <w:rtl w:val="0"/>
        </w:rPr>
        <w:t xml:space="preserve"> (pp. 174-178). Bangalore, India. doi:10.1109/COMSNETS51098.2021.9352892.</w:t>
      </w:r>
    </w:p>
    <w:p w:rsidR="00000000" w:rsidDel="00000000" w:rsidP="00000000" w:rsidRDefault="00000000" w:rsidRPr="00000000" w14:paraId="0000005C">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Silva, P., Matos, M., &amp; Barreto, J. (2023). NimbleChain: Speeding up Cryptocurrencies in General-purpose Permissionless Blockchains. </w:t>
      </w:r>
      <w:r w:rsidDel="00000000" w:rsidR="00000000" w:rsidRPr="00000000">
        <w:rPr>
          <w:rFonts w:ascii="Times New Roman" w:cs="Times New Roman" w:eastAsia="Times New Roman" w:hAnsi="Times New Roman"/>
          <w:i w:val="1"/>
          <w:sz w:val="24"/>
          <w:szCs w:val="24"/>
          <w:rtl w:val="0"/>
        </w:rPr>
        <w:t xml:space="preserve">Distributed Ledger Technology, 2</w:t>
      </w:r>
      <w:r w:rsidDel="00000000" w:rsidR="00000000" w:rsidRPr="00000000">
        <w:rPr>
          <w:rFonts w:ascii="Times New Roman" w:cs="Times New Roman" w:eastAsia="Times New Roman" w:hAnsi="Times New Roman"/>
          <w:sz w:val="24"/>
          <w:szCs w:val="24"/>
          <w:rtl w:val="0"/>
        </w:rPr>
        <w:t xml:space="preserve">(1), Article 8.</w:t>
      </w:r>
      <w:hyperlink r:id="rId20">
        <w:r w:rsidDel="00000000" w:rsidR="00000000" w:rsidRPr="00000000">
          <w:rPr>
            <w:rFonts w:ascii="Times New Roman" w:cs="Times New Roman" w:eastAsia="Times New Roman" w:hAnsi="Times New Roman"/>
            <w:color w:val="1155cc"/>
            <w:sz w:val="24"/>
            <w:szCs w:val="24"/>
            <w:u w:val="single"/>
            <w:rtl w:val="0"/>
          </w:rPr>
          <w:t xml:space="preserve"> https://doi-org.ezproxylocal.library.nova.edu/10.1145/3573895</w:t>
        </w:r>
      </w:hyperlink>
      <w:r w:rsidDel="00000000" w:rsidR="00000000" w:rsidRPr="00000000">
        <w:rPr>
          <w:rtl w:val="0"/>
        </w:rPr>
      </w:r>
    </w:p>
    <w:p w:rsidR="00000000" w:rsidDel="00000000" w:rsidP="00000000" w:rsidRDefault="00000000" w:rsidRPr="00000000" w14:paraId="0000005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Woznica, A., &amp; Kedziora, M. (2022). Performance and scalability evaluation of a permissioned Blockchain based on the Hyperledger Fabric, Sawtooth and Iroha. </w:t>
      </w:r>
      <w:r w:rsidDel="00000000" w:rsidR="00000000" w:rsidRPr="00000000">
        <w:rPr>
          <w:rFonts w:ascii="Times New Roman" w:cs="Times New Roman" w:eastAsia="Times New Roman" w:hAnsi="Times New Roman"/>
          <w:i w:val="1"/>
          <w:sz w:val="24"/>
          <w:szCs w:val="24"/>
          <w:rtl w:val="0"/>
        </w:rPr>
        <w:t xml:space="preserve">Comput. Sci. Inf. Syst., 19</w:t>
      </w:r>
      <w:r w:rsidDel="00000000" w:rsidR="00000000" w:rsidRPr="00000000">
        <w:rPr>
          <w:rFonts w:ascii="Times New Roman" w:cs="Times New Roman" w:eastAsia="Times New Roman" w:hAnsi="Times New Roman"/>
          <w:sz w:val="24"/>
          <w:szCs w:val="24"/>
          <w:rtl w:val="0"/>
        </w:rPr>
        <w:t xml:space="preserve">, 659-678.</w:t>
      </w:r>
    </w:p>
    <w:p w:rsidR="00000000" w:rsidDel="00000000" w:rsidP="00000000" w:rsidRDefault="00000000" w:rsidRPr="00000000" w14:paraId="0000005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Q., Huang, H., Zheng, Z., &amp; Bian, J. (2020). Solutions to Scalability of Blockchain: A Survey.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Advance online publication.</w:t>
      </w:r>
      <w:hyperlink r:id="rId21">
        <w:r w:rsidDel="00000000" w:rsidR="00000000" w:rsidRPr="00000000">
          <w:rPr>
            <w:rFonts w:ascii="Times New Roman" w:cs="Times New Roman" w:eastAsia="Times New Roman" w:hAnsi="Times New Roman"/>
            <w:color w:val="1155cc"/>
            <w:sz w:val="24"/>
            <w:szCs w:val="24"/>
            <w:u w:val="single"/>
            <w:rtl w:val="0"/>
          </w:rPr>
          <w:t xml:space="preserve"> https://doi.org/10.1109/ACCESS.2020.2967218</w:t>
        </w:r>
      </w:hyperlink>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F">
    <w:pPr>
      <w:rPr/>
    </w:pPr>
    <w:r w:rsidDel="00000000" w:rsidR="00000000" w:rsidRPr="00000000">
      <w:rPr>
        <w:rtl w:val="0"/>
      </w:rPr>
      <w:t xml:space="preserve">Eric Webb</w:t>
    </w:r>
  </w:p>
  <w:p w:rsidR="00000000" w:rsidDel="00000000" w:rsidP="00000000" w:rsidRDefault="00000000" w:rsidRPr="00000000" w14:paraId="00000060">
    <w:pPr>
      <w:rPr/>
    </w:pPr>
    <w:r w:rsidDel="00000000" w:rsidR="00000000" w:rsidRPr="00000000">
      <w:rPr>
        <w:rtl w:val="0"/>
      </w:rPr>
      <w:t xml:space="preserve">N01927543</w:t>
    </w:r>
  </w:p>
  <w:p w:rsidR="00000000" w:rsidDel="00000000" w:rsidP="00000000" w:rsidRDefault="00000000" w:rsidRPr="00000000" w14:paraId="00000061">
    <w:pPr>
      <w:rPr/>
    </w:pPr>
    <w:r w:rsidDel="00000000" w:rsidR="00000000" w:rsidRPr="00000000">
      <w:rPr>
        <w:rtl w:val="0"/>
      </w:rPr>
      <w:t xml:space="preserve">Project Overview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ezproxylocal.library.nova.edu/10.1145/3573895" TargetMode="External"/><Relationship Id="rId11" Type="http://schemas.openxmlformats.org/officeDocument/2006/relationships/hyperlink" Target="https://doi.org/10.1145/3548606.3559379" TargetMode="External"/><Relationship Id="rId22" Type="http://schemas.openxmlformats.org/officeDocument/2006/relationships/header" Target="header1.xml"/><Relationship Id="rId10" Type="http://schemas.openxmlformats.org/officeDocument/2006/relationships/hyperlink" Target="https://doi.org/10.1145/3318041.3355467" TargetMode="External"/><Relationship Id="rId21" Type="http://schemas.openxmlformats.org/officeDocument/2006/relationships/hyperlink" Target="https://doi.org/10.1109/ACCESS.2020.2967218" TargetMode="External"/><Relationship Id="rId13" Type="http://schemas.openxmlformats.org/officeDocument/2006/relationships/hyperlink" Target="https://doi.org/10.1007/s00145-006-0347-3" TargetMode="External"/><Relationship Id="rId12" Type="http://schemas.openxmlformats.org/officeDocument/2006/relationships/hyperlink" Target="https://doi.org/10.1007/3-540-36563-X_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45/3318041.3355467" TargetMode="External"/><Relationship Id="rId15" Type="http://schemas.openxmlformats.org/officeDocument/2006/relationships/hyperlink" Target="https://doi.org/10.1109/ICBC51069.2021.9461080" TargetMode="External"/><Relationship Id="rId14" Type="http://schemas.openxmlformats.org/officeDocument/2006/relationships/hyperlink" Target="https://doi.org/10.1145/3372297.3417262" TargetMode="External"/><Relationship Id="rId17" Type="http://schemas.openxmlformats.org/officeDocument/2006/relationships/hyperlink" Target="https://doi.org/10.1109/Blockchain53845.2021.00073" TargetMode="External"/><Relationship Id="rId16" Type="http://schemas.openxmlformats.org/officeDocument/2006/relationships/hyperlink" Target="https://doi.org/10.1145/3372297.3423364" TargetMode="External"/><Relationship Id="rId5" Type="http://schemas.openxmlformats.org/officeDocument/2006/relationships/styles" Target="styles.xml"/><Relationship Id="rId19" Type="http://schemas.openxmlformats.org/officeDocument/2006/relationships/hyperlink" Target="https://doi.org/10.1145/1658357.1658358" TargetMode="External"/><Relationship Id="rId6" Type="http://schemas.openxmlformats.org/officeDocument/2006/relationships/hyperlink" Target="https://doi.org/10.1109/COINS49042.2020.9191430" TargetMode="External"/><Relationship Id="rId18" Type="http://schemas.openxmlformats.org/officeDocument/2006/relationships/hyperlink" Target="https://doi.org/10.1145/2976749.2978399" TargetMode="External"/><Relationship Id="rId7" Type="http://schemas.openxmlformats.org/officeDocument/2006/relationships/hyperlink" Target="https://doi-org.ezproxylocal.library.nova.edu/10.1145/3477314.3507245" TargetMode="External"/><Relationship Id="rId8" Type="http://schemas.openxmlformats.org/officeDocument/2006/relationships/hyperlink" Target="https://doi.org/10.1145/3243734.3243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