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160"/>
        <w:rPr>
          <w:rFonts w:ascii="Times New Roman" w:hAnsi="Times New Roman" w:eastAsia="Times New Roman" w:cs="Times New Roman"/>
          <w:b/>
          <w:b/>
          <w:sz w:val="24"/>
          <w:szCs w:val="24"/>
        </w:rPr>
      </w:pPr>
      <w:commentRangeStart w:id="0"/>
      <w:r>
        <w:rPr>
          <w:rFonts w:eastAsia="Times New Roman" w:cs="Times New Roman" w:ascii="Times New Roman" w:hAnsi="Times New Roman"/>
          <w:b/>
          <w:sz w:val="24"/>
          <w:szCs w:val="24"/>
        </w:rPr>
        <w:t>Introduction:</w:t>
      </w:r>
      <w:r>
        <w:rPr>
          <w:rFonts w:eastAsia="Times New Roman" w:cs="Times New Roman" w:ascii="Times New Roman" w:hAnsi="Times New Roman"/>
          <w:b/>
          <w:sz w:val="24"/>
          <w:szCs w:val="24"/>
        </w:rPr>
      </w:r>
      <w:commentRangeEnd w:id="0"/>
      <w:r>
        <w:commentReference w:id="0"/>
      </w:r>
      <w:r>
        <w:rPr>
          <w:rFonts w:eastAsia="Times New Roman" w:cs="Times New Roman" w:ascii="Times New Roman" w:hAnsi="Times New Roman"/>
          <w:b/>
          <w:sz w:val="24"/>
          <w:szCs w:val="24"/>
        </w:rPr>
        <w:br/>
      </w:r>
      <w:r>
        <w:rPr>
          <w:rFonts w:eastAsia="Times New Roman" w:cs="Times New Roman" w:ascii="Times New Roman" w:hAnsi="Times New Roman"/>
          <w:sz w:val="24"/>
          <w:szCs w:val="24"/>
        </w:rPr>
        <w:t xml:space="preserve"> </w:t>
        <w:tab/>
        <w:t>The exploratory research for the Winter 2024 ISEC 885 course aims to develop a problem direction for a doctoral research idea concept paper, leading to an idea paper, with the ultimate objective of contributing to the field of Asynchronous Consensus and Permission-less Systems</w:t>
      </w:r>
      <w:bookmarkStart w:id="0" w:name="_GoBack"/>
      <w:bookmarkEnd w:id="0"/>
      <w:r>
        <w:rPr>
          <w:rFonts w:eastAsia="Times New Roman" w:cs="Times New Roman" w:ascii="Times New Roman" w:hAnsi="Times New Roman"/>
          <w:b/>
          <w:sz w:val="24"/>
          <w:szCs w:val="24"/>
        </w:rPr>
        <w:t>.</w:t>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w:t>
      </w:r>
      <w:commentRangeStart w:id="1"/>
      <w:r>
        <w:rPr>
          <w:rFonts w:eastAsia="Times New Roman" w:cs="Times New Roman" w:ascii="Times New Roman" w:hAnsi="Times New Roman"/>
          <w:sz w:val="24"/>
          <w:szCs w:val="24"/>
        </w:rPr>
        <w:t xml:space="preserve">More specifically, asynchronous consensus ensures that systems can reach an agreement even when there is no bound on the time it takes for messages to be delivered. Not knowing the bound on the time in an asynchronous setting directly contrasts synchronous consensus, which does know its bound on time, along with partially-synchronous consensus, which knows there is a bound on time, but doesn't know what that bound is (Miller et al., 2016). </w:t>
      </w:r>
      <w:r>
        <w:rPr>
          <w:rFonts w:eastAsia="Times New Roman" w:cs="Times New Roman" w:ascii="Times New Roman" w:hAnsi="Times New Roman"/>
          <w:sz w:val="24"/>
          <w:szCs w:val="24"/>
        </w:rPr>
      </w:r>
      <w:commentRangeStart w:id="2"/>
      <w:commentRangeEnd w:id="1"/>
      <w:r>
        <w:commentReference w:id="1"/>
      </w:r>
      <w:r>
        <w:rPr>
          <w:rFonts w:eastAsia="Times New Roman" w:cs="Times New Roman" w:ascii="Times New Roman" w:hAnsi="Times New Roman"/>
          <w:sz w:val="24"/>
          <w:szCs w:val="24"/>
        </w:rPr>
        <w:t>This research favors the asynchronous setting because of its decentralization, instantaneous progress, and resilience to network variability, which are favorable traits in trustless blockchain systems.</w:t>
      </w:r>
      <w:commentRangeEnd w:id="2"/>
      <w:r>
        <w:commentReference w:id="2"/>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r>
      <w:commentRangeStart w:id="3"/>
      <w:r>
        <w:rPr>
          <w:rFonts w:eastAsia="Times New Roman" w:cs="Times New Roman" w:ascii="Times New Roman" w:hAnsi="Times New Roman"/>
          <w:sz w:val="24"/>
          <w:szCs w:val="24"/>
        </w:rPr>
        <w:t xml:space="preserve">Permissioned and permissionless blockchains represent two different paradigms in the realm of distributed ledgers. When it comes to the blockchain trilemma,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w:t>
      </w:r>
      <w:r>
        <w:rPr>
          <w:rFonts w:eastAsia="Times New Roman" w:cs="Times New Roman" w:ascii="Times New Roman" w:hAnsi="Times New Roman"/>
          <w:sz w:val="24"/>
          <w:szCs w:val="24"/>
        </w:rPr>
      </w:r>
      <w:commentRangeStart w:id="4"/>
      <w:commentRangeEnd w:id="3"/>
      <w:r>
        <w:commentReference w:id="3"/>
      </w:r>
      <w:r>
        <w:rPr>
          <w:rFonts w:eastAsia="Times New Roman" w:cs="Times New Roman" w:ascii="Times New Roman" w:hAnsi="Times New Roman"/>
          <w:sz w:val="24"/>
          <w:szCs w:val="24"/>
        </w:rPr>
        <w:t>This research favors permissionless over permissioned because of its higher decentralization in the blockchain trilemma</w:t>
      </w:r>
      <w:commentRangeEnd w:id="4"/>
      <w:r>
        <w:commentReference w:id="4"/>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r>
      <w:commentRangeStart w:id="5"/>
      <w:r>
        <w:rPr>
          <w:rFonts w:eastAsia="Times New Roman" w:cs="Times New Roman" w:ascii="Times New Roman" w:hAnsi="Times New Roman"/>
          <w:sz w:val="24"/>
          <w:szCs w:val="24"/>
        </w:rPr>
        <w:t>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key generation, and by definition making the blockchain permissioned, has been seen throughout the conception of asynchronous consensus, such as in the initial works of the HoneyBadgerBFT (HBBFT),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and even call for additional research to advance the field of permission-less asynchronous consensus without trusted dealers (Knudsen et al., 2021).</w:t>
      </w:r>
      <w:commentRangeEnd w:id="5"/>
      <w:r>
        <w:commentReference w:id="5"/>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r>
      <w:commentRangeStart w:id="6"/>
      <w:r>
        <w:rPr>
          <w:rFonts w:eastAsia="Times New Roman" w:cs="Times New Roman" w:ascii="Times New Roman" w:hAnsi="Times New Roman"/>
          <w:sz w:val="24"/>
          <w:szCs w:val="24"/>
        </w:rPr>
        <w:t xml:space="preserve">The lack of asynchronous consensus without a trusted dealer led to the conception of the Aleph protocol (Gągol et al., 2019). </w:t>
      </w:r>
      <w:r>
        <w:rPr>
          <w:rFonts w:eastAsia="Times New Roman" w:cs="Times New Roman" w:ascii="Times New Roman" w:hAnsi="Times New Roman"/>
          <w:sz w:val="24"/>
          <w:szCs w:val="24"/>
        </w:rPr>
      </w:r>
      <w:commentRangeStart w:id="7"/>
      <w:commentRangeEnd w:id="6"/>
      <w:r>
        <w:commentReference w:id="6"/>
      </w:r>
      <w:r>
        <w:rPr>
          <w:rFonts w:eastAsia="Times New Roman" w:cs="Times New Roman" w:ascii="Times New Roman" w:hAnsi="Times New Roman"/>
          <w:sz w:val="24"/>
          <w:szCs w:val="24"/>
        </w:rPr>
        <w:t xml:space="preserve">The same way HBBFT touts itself as the first practical asynchronous consensus protocol (Miller et al., 2016). </w:t>
      </w:r>
      <w:r>
        <w:rPr>
          <w:rFonts w:eastAsia="Times New Roman" w:cs="Times New Roman" w:ascii="Times New Roman" w:hAnsi="Times New Roman"/>
          <w:sz w:val="24"/>
          <w:szCs w:val="24"/>
        </w:rPr>
      </w:r>
      <w:commentRangeStart w:id="8"/>
      <w:commentRangeEnd w:id="7"/>
      <w:r>
        <w:commentReference w:id="7"/>
      </w:r>
      <w:r>
        <w:rPr>
          <w:rFonts w:eastAsia="Times New Roman" w:cs="Times New Roman" w:ascii="Times New Roman" w:hAnsi="Times New Roman"/>
          <w:sz w:val="24"/>
          <w:szCs w:val="24"/>
        </w:rPr>
        <w:t xml:space="preserve">Aleph touts itself as the first practical asynchronous consensus protocol without a trusted dealer (Gągol et al., 2019). </w:t>
      </w:r>
      <w:r>
        <w:rPr>
          <w:rFonts w:eastAsia="Times New Roman" w:cs="Times New Roman" w:ascii="Times New Roman" w:hAnsi="Times New Roman"/>
          <w:sz w:val="24"/>
          <w:szCs w:val="24"/>
        </w:rPr>
      </w:r>
      <w:commentRangeStart w:id="9"/>
      <w:commentRangeEnd w:id="8"/>
      <w:r>
        <w:commentReference w:id="8"/>
      </w:r>
      <w:r>
        <w:rPr>
          <w:rFonts w:eastAsia="Times New Roman" w:cs="Times New Roman" w:ascii="Times New Roman" w:hAnsi="Times New Roman"/>
          <w:sz w:val="24"/>
          <w:szCs w:val="24"/>
        </w:rPr>
        <w:t xml:space="preserve">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asynchronous atomic broadcast in lieu of sequentially executing ACS (Guo et al., 2022). </w:t>
      </w:r>
      <w:r>
        <w:rPr>
          <w:rFonts w:eastAsia="Times New Roman" w:cs="Times New Roman" w:ascii="Times New Roman" w:hAnsi="Times New Roman"/>
          <w:sz w:val="24"/>
          <w:szCs w:val="24"/>
        </w:rPr>
      </w:r>
      <w:commentRangeStart w:id="10"/>
      <w:commentRangeEnd w:id="9"/>
      <w:r>
        <w:commentReference w:id="9"/>
      </w:r>
      <w:r>
        <w:rPr>
          <w:rFonts w:eastAsia="Times New Roman" w:cs="Times New Roman" w:ascii="Times New Roman" w:hAnsi="Times New Roman"/>
          <w:sz w:val="24"/>
          <w:szCs w:val="24"/>
        </w:rPr>
        <w:t>Aleph provides a reputable protocol for this research because it executes consensus asynchronously without giving up its permission-less properties as seen in the past with trusted dealers.</w:t>
      </w:r>
      <w:commentRangeEnd w:id="10"/>
      <w:r>
        <w:commentReference w:id="10"/>
      </w: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commentRangeStart w:id="11"/>
      <w:r>
        <w:rPr>
          <w:rFonts w:eastAsia="Times New Roman" w:cs="Times New Roman" w:ascii="Times New Roman" w:hAnsi="Times New Roman"/>
          <w:b/>
          <w:sz w:val="24"/>
          <w:szCs w:val="24"/>
        </w:rPr>
        <w:t>Problems:</w:t>
      </w:r>
      <w:r>
        <w:rPr>
          <w:rFonts w:eastAsia="Times New Roman" w:cs="Times New Roman" w:ascii="Times New Roman" w:hAnsi="Times New Roman"/>
          <w:sz w:val="24"/>
          <w:szCs w:val="24"/>
        </w:rPr>
        <w:t xml:space="preserve"> The following three problems will be addressed from the Aleph research.</w:t>
      </w:r>
      <w:commentRangeEnd w:id="11"/>
      <w:r>
        <w:commentReference w:id="11"/>
      </w:r>
      <w:r>
        <w:rPr>
          <w:rFonts w:eastAsia="Times New Roman" w:cs="Times New Roman" w:ascii="Times New Roman" w:hAnsi="Times New Roman"/>
          <w:sz w:val="24"/>
          <w:szCs w:val="24"/>
        </w:rPr>
      </w:r>
    </w:p>
    <w:p>
      <w:pPr>
        <w:pStyle w:val="Normal"/>
        <w:spacing w:lineRule="auto" w:line="480" w:before="240" w:after="140"/>
        <w:rPr>
          <w:rFonts w:ascii="Times New Roman" w:hAnsi="Times New Roman" w:eastAsia="Times New Roman" w:cs="Times New Roman"/>
          <w:sz w:val="24"/>
          <w:szCs w:val="24"/>
        </w:rPr>
      </w:pPr>
      <w:commentRangeStart w:id="12"/>
      <w:r>
        <w:rPr>
          <w:rFonts w:eastAsia="Times New Roman" w:cs="Times New Roman" w:ascii="Times New Roman" w:hAnsi="Times New Roman"/>
          <w:i/>
          <w:sz w:val="24"/>
          <w:szCs w:val="24"/>
        </w:rPr>
        <w:t>Forking Attack Problem:</w:t>
      </w:r>
      <w:r>
        <w:rPr>
          <w:rFonts w:eastAsia="Times New Roman" w:cs="Times New Roman" w:ascii="Times New Roman" w:hAnsi="Times New Roman"/>
          <w:sz w:val="24"/>
          <w:szCs w:val="24"/>
        </w:rPr>
        <w:t xml:space="preserve"> Malicious nodes can exploit the protocol's reliance on local validation to create a large number of valid but conflicting forks, overwhelming honest nodes and disrupting the network (Guo et al., 2022). This attack is particularly concerning because it is relatively  practical, requiring minimal resources and control by the attacker. Meaning It can be adapted to various DAG-based protocols with different parent requirements.</w:t>
      </w:r>
      <w:r>
        <w:rPr>
          <w:rFonts w:eastAsia="Times New Roman" w:cs="Times New Roman" w:ascii="Times New Roman" w:hAnsi="Times New Roman"/>
          <w:sz w:val="24"/>
          <w:szCs w:val="24"/>
        </w:rPr>
      </w:r>
      <w:commentRangeEnd w:id="12"/>
      <w:r>
        <w:commentReference w:id="12"/>
      </w:r>
      <w:r>
        <w:rPr>
          <w:rFonts w:eastAsia="Times New Roman" w:cs="Times New Roman" w:ascii="Times New Roman" w:hAnsi="Times New Roman"/>
          <w:sz w:val="24"/>
          <w:szCs w:val="24"/>
        </w:rPr>
        <w:tab/>
      </w:r>
    </w:p>
    <w:p>
      <w:pPr>
        <w:pStyle w:val="Normal"/>
        <w:spacing w:lineRule="auto" w:line="480" w:before="240" w:after="140"/>
        <w:rPr>
          <w:rFonts w:ascii="Times New Roman" w:hAnsi="Times New Roman" w:eastAsia="Times New Roman" w:cs="Times New Roman"/>
          <w:sz w:val="24"/>
          <w:szCs w:val="24"/>
        </w:rPr>
      </w:pPr>
      <w:commentRangeStart w:id="13"/>
      <w:r>
        <w:rPr>
          <w:rFonts w:eastAsia="Times New Roman" w:cs="Times New Roman" w:ascii="Times New Roman" w:hAnsi="Times New Roman"/>
          <w:i/>
          <w:sz w:val="24"/>
          <w:szCs w:val="24"/>
        </w:rPr>
        <w:t>Scalability of Communication Complexity Problem:</w:t>
      </w:r>
      <w:r>
        <w:rPr>
          <w:rFonts w:eastAsia="Times New Roman" w:cs="Times New Roman" w:ascii="Times New Roman" w:hAnsi="Times New Roman"/>
          <w:sz w:val="24"/>
          <w:szCs w:val="24"/>
        </w:rPr>
        <w:t xml:space="preserve"> The Research mentions that the communication complexity of the reliable broadcast protocol used in Aleph can be improved from N^2 log(N) to N^2 (Guo et al., 2022). This signifies a need for an improvement to its scalability.</w:t>
      </w:r>
      <w:commentRangeEnd w:id="13"/>
      <w:r>
        <w:commentReference w:id="13"/>
      </w:r>
      <w:r>
        <w:rPr>
          <w:rFonts w:eastAsia="Times New Roman" w:cs="Times New Roman" w:ascii="Times New Roman" w:hAnsi="Times New Roman"/>
          <w:sz w:val="24"/>
          <w:szCs w:val="24"/>
        </w:rPr>
      </w:r>
    </w:p>
    <w:p>
      <w:pPr>
        <w:pStyle w:val="Normal"/>
        <w:spacing w:lineRule="auto" w:line="480" w:before="240" w:after="140"/>
        <w:rPr>
          <w:rFonts w:ascii="Times New Roman" w:hAnsi="Times New Roman" w:eastAsia="Times New Roman" w:cs="Times New Roman"/>
          <w:b/>
          <w:b/>
          <w:sz w:val="24"/>
          <w:szCs w:val="24"/>
        </w:rPr>
      </w:pPr>
      <w:commentRangeStart w:id="14"/>
      <w:r>
        <w:rPr>
          <w:rFonts w:eastAsia="Times New Roman" w:cs="Times New Roman" w:ascii="Times New Roman" w:hAnsi="Times New Roman"/>
          <w:i/>
          <w:sz w:val="24"/>
          <w:szCs w:val="24"/>
        </w:rPr>
        <w:t>Lack of Proof of Termination Problem:</w:t>
      </w:r>
      <w:r>
        <w:rPr>
          <w:rFonts w:eastAsia="Times New Roman" w:cs="Times New Roman" w:ascii="Times New Roman" w:hAnsi="Times New Roman"/>
          <w:sz w:val="24"/>
          <w:szCs w:val="24"/>
        </w:rPr>
        <w:t xml:space="preserve"> The Reliable Broadcast (RBC) does not include a proof of termination (Guo et al., 2022). Meaning the current Aleph protocol lacks a mechanism to definitively inform nodes when the protocol has finished executing for a specific unit. Not having proof of termination can lead to problems with consistency, efficiency, and security.</w:t>
      </w:r>
      <w:commentRangeEnd w:id="14"/>
      <w:r>
        <w:commentReference w:id="14"/>
      </w:r>
      <w:r>
        <w:rPr>
          <w:rFonts w:eastAsia="Times New Roman" w:cs="Times New Roman" w:ascii="Times New Roman" w:hAnsi="Times New Roman"/>
          <w:sz w:val="24"/>
          <w:szCs w:val="24"/>
        </w:rPr>
      </w:r>
    </w:p>
    <w:p>
      <w:pPr>
        <w:pStyle w:val="Normal"/>
        <w:spacing w:lineRule="auto" w:line="48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240" w:after="140"/>
        <w:rPr>
          <w:rFonts w:ascii="Times New Roman" w:hAnsi="Times New Roman" w:eastAsia="Times New Roman" w:cs="Times New Roman"/>
          <w:sz w:val="24"/>
          <w:szCs w:val="24"/>
        </w:rPr>
      </w:pPr>
      <w:commentRangeStart w:id="15"/>
      <w:r>
        <w:rPr>
          <w:rFonts w:eastAsia="Times New Roman" w:cs="Times New Roman" w:ascii="Times New Roman" w:hAnsi="Times New Roman"/>
          <w:b/>
          <w:sz w:val="24"/>
          <w:szCs w:val="24"/>
        </w:rPr>
        <w:t>Goals:</w:t>
      </w:r>
      <w:r>
        <w:rPr>
          <w:rFonts w:eastAsia="Times New Roman" w:cs="Times New Roman" w:ascii="Times New Roman" w:hAnsi="Times New Roman"/>
          <w:sz w:val="24"/>
          <w:szCs w:val="24"/>
        </w:rPr>
        <w:t xml:space="preserve"> The following three goals will be addressed from the Aleph research.</w:t>
      </w:r>
      <w:commentRangeEnd w:id="15"/>
      <w:r>
        <w:commentReference w:id="15"/>
      </w:r>
      <w:r>
        <w:rPr>
          <w:rFonts w:eastAsia="Times New Roman" w:cs="Times New Roman" w:ascii="Times New Roman" w:hAnsi="Times New Roman"/>
          <w:sz w:val="24"/>
          <w:szCs w:val="24"/>
        </w:rPr>
      </w:r>
    </w:p>
    <w:p>
      <w:pPr>
        <w:pStyle w:val="Normal"/>
        <w:spacing w:lineRule="auto" w:line="480" w:before="240" w:after="14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Fork Bomb Goals:</w:t>
      </w:r>
    </w:p>
    <w:p>
      <w:pPr>
        <w:pStyle w:val="Normal"/>
        <w:spacing w:lineRule="auto" w:line="480" w:before="240" w:after="140"/>
        <w:rPr>
          <w:rFonts w:ascii="Times New Roman" w:hAnsi="Times New Roman" w:eastAsia="Times New Roman" w:cs="Times New Roman"/>
          <w:sz w:val="24"/>
          <w:szCs w:val="24"/>
        </w:rPr>
      </w:pPr>
      <w:commentRangeStart w:id="16"/>
      <w:r>
        <w:rPr>
          <w:rFonts w:eastAsia="Times New Roman" w:cs="Times New Roman" w:ascii="Times New Roman" w:hAnsi="Times New Roman"/>
          <w:sz w:val="24"/>
          <w:szCs w:val="24"/>
          <w:u w:val="single"/>
        </w:rPr>
        <w:t>Non-local Validation:</w:t>
      </w:r>
      <w:r>
        <w:rPr>
          <w:rFonts w:eastAsia="Times New Roman" w:cs="Times New Roman" w:ascii="Times New Roman" w:hAnsi="Times New Roman"/>
          <w:sz w:val="24"/>
          <w:szCs w:val="24"/>
        </w:rPr>
        <w:t xml:space="preserve"> Implement mechanisms that go beyond local checks and involve communication or information sharing between nodes to verify the validity of units, making it harder for attackers to create valid-looking forks. The Aleph research mentions techniques like other forms of RBC or Verifiable Random Functions (VRFs).</w:t>
        <w:tab/>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Threshold signatures:</w:t>
      </w:r>
      <w:r>
        <w:rPr>
          <w:rFonts w:eastAsia="Times New Roman" w:cs="Times New Roman" w:ascii="Times New Roman" w:hAnsi="Times New Roman"/>
          <w:sz w:val="24"/>
          <w:szCs w:val="24"/>
        </w:rPr>
        <w:t xml:space="preserve"> Utilize threshold signatures where a unit's validity requires a certain number of honest nodes to sign off on it, making it more difficult for attackers to forge valid forks without compromising a significant portion of the network.</w:t>
      </w:r>
      <w:r>
        <w:rPr>
          <w:rFonts w:eastAsia="Times New Roman" w:cs="Times New Roman" w:ascii="Times New Roman" w:hAnsi="Times New Roman"/>
          <w:sz w:val="24"/>
          <w:szCs w:val="24"/>
        </w:rPr>
      </w:r>
      <w:commentRangeEnd w:id="16"/>
      <w:r>
        <w:commentReference w:id="16"/>
      </w:r>
      <w:r>
        <w:rPr>
          <w:rFonts w:eastAsia="Times New Roman" w:cs="Times New Roman" w:ascii="Times New Roman" w:hAnsi="Times New Roman"/>
          <w:sz w:val="24"/>
          <w:szCs w:val="24"/>
        </w:rPr>
        <w:br/>
      </w:r>
    </w:p>
    <w:p>
      <w:pPr>
        <w:pStyle w:val="Normal"/>
        <w:spacing w:lineRule="auto" w:line="480" w:before="240" w:after="0"/>
        <w:rPr>
          <w:rFonts w:ascii="Times New Roman" w:hAnsi="Times New Roman" w:eastAsia="Times New Roman" w:cs="Times New Roman"/>
          <w:i/>
          <w:i/>
          <w:sz w:val="24"/>
          <w:szCs w:val="24"/>
        </w:rPr>
      </w:pPr>
      <w:commentRangeStart w:id="17"/>
      <w:r>
        <w:rPr>
          <w:rFonts w:eastAsia="Times New Roman" w:cs="Times New Roman" w:ascii="Times New Roman" w:hAnsi="Times New Roman"/>
          <w:i/>
          <w:sz w:val="24"/>
          <w:szCs w:val="24"/>
        </w:rPr>
        <w:t>Scalability of Communication Complexity Goal:</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Employing RSA accumulators:</w:t>
      </w:r>
      <w:r>
        <w:rPr>
          <w:rFonts w:eastAsia="Times New Roman" w:cs="Times New Roman" w:ascii="Times New Roman" w:hAnsi="Times New Roman"/>
          <w:sz w:val="24"/>
          <w:szCs w:val="24"/>
        </w:rPr>
        <w:t xml:space="preserve"> The Aleph research suggests replacing Merkle Trees with RSA accumulators in the RBC protocol to achieve better communication complexity. This could be further investigated and implemented to enhance network performance. </w:t>
        <w:tab/>
        <w:br/>
      </w:r>
      <w:commentRangeEnd w:id="17"/>
      <w:r>
        <w:commentReference w:id="17"/>
      </w: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i/>
          <w:i/>
          <w:sz w:val="24"/>
          <w:szCs w:val="24"/>
        </w:rPr>
      </w:pPr>
      <w:commentRangeStart w:id="18"/>
      <w:r>
        <w:rPr>
          <w:rFonts w:eastAsia="Times New Roman" w:cs="Times New Roman" w:ascii="Times New Roman" w:hAnsi="Times New Roman"/>
          <w:i/>
          <w:sz w:val="24"/>
          <w:szCs w:val="24"/>
        </w:rPr>
        <w:t>Lack of Proof of Termination Goals:</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Threshold Signatures for Termination:</w:t>
      </w:r>
      <w:r>
        <w:rPr>
          <w:rFonts w:eastAsia="Times New Roman" w:cs="Times New Roman" w:ascii="Times New Roman" w:hAnsi="Times New Roman"/>
          <w:sz w:val="24"/>
          <w:szCs w:val="24"/>
        </w:rPr>
        <w:t xml:space="preserve"> As mentioned in the research, including a share of a threshold signature for the hash of the final message alongside the commit message could be explored. This would </w:t>
        <w:tab/>
        <w:t xml:space="preserve">allow nodes to gather the required signatures and confirm the </w:t>
        <w:tab/>
        <w:t xml:space="preserve">protocol's termination for a particular unit. </w:t>
        <w:tab/>
      </w:r>
    </w:p>
    <w:p>
      <w:pPr>
        <w:pStyle w:val="Normal"/>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u w:val="single"/>
        </w:rPr>
        <w:t>Reputation Systems:</w:t>
      </w:r>
      <w:r>
        <w:rPr>
          <w:rFonts w:eastAsia="Times New Roman" w:cs="Times New Roman" w:ascii="Times New Roman" w:hAnsi="Times New Roman"/>
          <w:sz w:val="24"/>
          <w:szCs w:val="24"/>
        </w:rPr>
        <w:t xml:space="preserve"> Implement mechanisms that track node behavior and penalize malicious </w:t>
        <w:tab/>
        <w:t>actors, deterring them from launching fork attacks.</w:t>
        <w:tab/>
      </w:r>
      <w:commentRangeEnd w:id="18"/>
      <w:r>
        <w:commentReference w:id="18"/>
      </w: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480"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Abraham, I., Jovanovic, P., Maller, M., Meiklejohn, S., Stern, G., &amp; Tomescu, A. (2021). Reaching consensus for asynchronous distributed key generation. In </w:t>
      </w:r>
      <w:r>
        <w:rPr>
          <w:rFonts w:eastAsia="Times New Roman" w:cs="Times New Roman" w:ascii="Times New Roman" w:hAnsi="Times New Roman"/>
          <w:i/>
          <w:sz w:val="24"/>
          <w:szCs w:val="24"/>
        </w:rPr>
        <w:t>Proceedings of the 2021 ACM Symposium on Principles of Distributed Computing</w:t>
      </w:r>
      <w:r>
        <w:rPr>
          <w:rFonts w:eastAsia="Times New Roman" w:cs="Times New Roman" w:ascii="Times New Roman" w:hAnsi="Times New Roman"/>
          <w:sz w:val="24"/>
          <w:szCs w:val="24"/>
        </w:rPr>
        <w:t xml:space="preserve"> (pp. 363–373).</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Adam Gągol, Damian Leśniak, Damian Straszak, and Michał Świętek. (2019). Aleph: Efficient Atomic Broadcast in Asynchronous Networks with Byzantine Nodes. In </w:t>
      </w:r>
      <w:r>
        <w:rPr>
          <w:rFonts w:eastAsia="Times New Roman" w:cs="Times New Roman" w:ascii="Times New Roman" w:hAnsi="Times New Roman"/>
          <w:i/>
          <w:sz w:val="24"/>
          <w:szCs w:val="24"/>
        </w:rPr>
        <w:t>Proceedings of the 1st ACM Conference on Advances in Financial Technologies</w:t>
      </w:r>
      <w:r>
        <w:rPr>
          <w:rFonts w:eastAsia="Times New Roman" w:cs="Times New Roman" w:ascii="Times New Roman" w:hAnsi="Times New Roman"/>
          <w:sz w:val="24"/>
          <w:szCs w:val="24"/>
        </w:rPr>
        <w:t xml:space="preserve"> (pp. 214–228).</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Baird, L., &amp; Luykx, A. (2020). The Hashgraph Protocol: Efficient Asynchronous BFT for High-Throughput Distributed Ledgers. </w:t>
      </w:r>
      <w:r>
        <w:rPr>
          <w:rFonts w:eastAsia="Times New Roman" w:cs="Times New Roman" w:ascii="Times New Roman" w:hAnsi="Times New Roman"/>
          <w:i/>
          <w:sz w:val="24"/>
          <w:szCs w:val="24"/>
        </w:rPr>
        <w:t>International Conference on Omni-layer Intelligent Systems</w:t>
      </w:r>
      <w:r>
        <w:rPr>
          <w:rFonts w:eastAsia="Times New Roman" w:cs="Times New Roman" w:ascii="Times New Roman" w:hAnsi="Times New Roman"/>
          <w:sz w:val="24"/>
          <w:szCs w:val="24"/>
        </w:rPr>
        <w:t xml:space="preserve"> (pp. 1-7).</w:t>
      </w:r>
      <w:hyperlink r:id="rId2">
        <w:r>
          <w:rPr>
            <w:rFonts w:eastAsia="Times New Roman" w:cs="Times New Roman" w:ascii="Times New Roman" w:hAnsi="Times New Roman"/>
            <w:sz w:val="24"/>
            <w:szCs w:val="24"/>
          </w:rPr>
          <w:t xml:space="preserve"> </w:t>
        </w:r>
      </w:hyperlink>
      <w:hyperlink r:id="rId3">
        <w:r>
          <w:rPr>
            <w:rFonts w:eastAsia="Times New Roman" w:cs="Times New Roman" w:ascii="Times New Roman" w:hAnsi="Times New Roman"/>
            <w:color w:val="1155CC"/>
            <w:sz w:val="24"/>
            <w:szCs w:val="24"/>
            <w:u w:val="single"/>
          </w:rPr>
          <w:t>https://doi.org/10.1109/COINS49042.2020.9191430</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Boldyreva, A. (2002). Threshold signatures, multisignatures and blind signatures based on the gap-diffie-hellman-group signature scheme. In </w:t>
      </w:r>
      <w:r>
        <w:rPr>
          <w:rFonts w:eastAsia="Times New Roman" w:cs="Times New Roman" w:ascii="Times New Roman" w:hAnsi="Times New Roman"/>
          <w:i/>
          <w:sz w:val="24"/>
          <w:szCs w:val="24"/>
        </w:rPr>
        <w:t>Public key cryptography–PKC 2003</w:t>
      </w:r>
      <w:r>
        <w:rPr>
          <w:rFonts w:eastAsia="Times New Roman" w:cs="Times New Roman" w:ascii="Times New Roman" w:hAnsi="Times New Roman"/>
          <w:sz w:val="24"/>
          <w:szCs w:val="24"/>
        </w:rPr>
        <w:t xml:space="preserve"> (pp. 31–46). Springer.</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Das, S., Xiang, Z., &amp; Ren, L. (2020). Asynchronous data dissemination and its applications. In </w:t>
      </w:r>
      <w:r>
        <w:rPr>
          <w:rFonts w:eastAsia="Times New Roman" w:cs="Times New Roman" w:ascii="Times New Roman" w:hAnsi="Times New Roman"/>
          <w:i/>
          <w:sz w:val="24"/>
          <w:szCs w:val="24"/>
        </w:rPr>
        <w:t>Proceedings of the 2021 ACM SIGSAC Conference on Computer and Communications Security</w:t>
      </w:r>
      <w:r>
        <w:rPr>
          <w:rFonts w:eastAsia="Times New Roman" w:cs="Times New Roman" w:ascii="Times New Roman" w:hAnsi="Times New Roman"/>
          <w:sz w:val="24"/>
          <w:szCs w:val="24"/>
        </w:rPr>
        <w:t>.</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Djari, A., Anceaume, E., &amp; Tucci-Piergiovanni, S. (2022). An extensive agent-based simulation study of sycomore++, a DAG-based permissionless ledger. In </w:t>
      </w:r>
      <w:r>
        <w:rPr>
          <w:rFonts w:eastAsia="Times New Roman" w:cs="Times New Roman" w:ascii="Times New Roman" w:hAnsi="Times New Roman"/>
          <w:i/>
          <w:sz w:val="24"/>
          <w:szCs w:val="24"/>
        </w:rPr>
        <w:t>Proceedings of the 37th ACM/SIGAPP Symposium on Applied Computing</w:t>
      </w:r>
      <w:r>
        <w:rPr>
          <w:rFonts w:eastAsia="Times New Roman" w:cs="Times New Roman" w:ascii="Times New Roman" w:hAnsi="Times New Roman"/>
          <w:sz w:val="24"/>
          <w:szCs w:val="24"/>
        </w:rPr>
        <w:t xml:space="preserve"> (pp. 334–336). Association for Computing Machinery.</w:t>
      </w:r>
      <w:hyperlink r:id="rId4">
        <w:r>
          <w:rPr>
            <w:rFonts w:eastAsia="Times New Roman" w:cs="Times New Roman" w:ascii="Times New Roman" w:hAnsi="Times New Roman"/>
            <w:sz w:val="24"/>
            <w:szCs w:val="24"/>
          </w:rPr>
          <w:t xml:space="preserve"> </w:t>
        </w:r>
      </w:hyperlink>
      <w:hyperlink r:id="rId5">
        <w:r>
          <w:rPr>
            <w:rFonts w:eastAsia="Times New Roman" w:cs="Times New Roman" w:ascii="Times New Roman" w:hAnsi="Times New Roman"/>
            <w:color w:val="1155CC"/>
            <w:sz w:val="24"/>
            <w:szCs w:val="24"/>
            <w:u w:val="single"/>
          </w:rPr>
          <w:t>https://doi-org.ezproxylocal.library.nova.edu/10.1145/3477314.3507245</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Duan, S., Reiter, M., &amp; Zhang, H. (2018). Beat: Asynchronous BFT Made Practical. In </w:t>
      </w:r>
      <w:r>
        <w:rPr>
          <w:rFonts w:eastAsia="Times New Roman" w:cs="Times New Roman" w:ascii="Times New Roman" w:hAnsi="Times New Roman"/>
          <w:i/>
          <w:sz w:val="24"/>
          <w:szCs w:val="24"/>
        </w:rPr>
        <w:t>ACM SIGSAC Conference on Computer and Communications Security</w:t>
      </w:r>
      <w:r>
        <w:rPr>
          <w:rFonts w:eastAsia="Times New Roman" w:cs="Times New Roman" w:ascii="Times New Roman" w:hAnsi="Times New Roman"/>
          <w:sz w:val="24"/>
          <w:szCs w:val="24"/>
        </w:rPr>
        <w:t xml:space="preserve"> (pp. 2028–2041).</w:t>
      </w:r>
      <w:hyperlink r:id="rId6">
        <w:r>
          <w:rPr>
            <w:rFonts w:eastAsia="Times New Roman" w:cs="Times New Roman" w:ascii="Times New Roman" w:hAnsi="Times New Roman"/>
            <w:sz w:val="24"/>
            <w:szCs w:val="24"/>
          </w:rPr>
          <w:t xml:space="preserve"> </w:t>
        </w:r>
      </w:hyperlink>
      <w:hyperlink r:id="rId7">
        <w:r>
          <w:rPr>
            <w:rFonts w:eastAsia="Times New Roman" w:cs="Times New Roman" w:ascii="Times New Roman" w:hAnsi="Times New Roman"/>
            <w:color w:val="1155CC"/>
            <w:sz w:val="24"/>
            <w:szCs w:val="24"/>
            <w:u w:val="single"/>
          </w:rPr>
          <w:t>https://doi.org/10.1145/3243734.3243812</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Fischer, M. J., Lynch, N. A., &amp; Paterson, M. S. (1982). Impossibility of distributed consensus with one faulty process (Technical Report No. MIT/LCS/TR-728). Massachusetts Institute of Technology, Laboratory for Computer Science, Cambridge.</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Gao, Y., Lu, Y., Lu, Z., Tang, Q., Xu, J., &amp; Zhang, Z. (2022). Dumbo-NG: Fast Asynchronous BFT Consensus with Throughput-Oblivious Latency. In </w:t>
      </w:r>
      <w:r>
        <w:rPr>
          <w:rFonts w:eastAsia="Times New Roman" w:cs="Times New Roman" w:ascii="Times New Roman" w:hAnsi="Times New Roman"/>
          <w:i/>
          <w:sz w:val="24"/>
          <w:szCs w:val="24"/>
        </w:rPr>
        <w:t>Proceedings of the 2022 ACM SIGSAC Conference on Computer and Communications Security (CCS '22)</w:t>
      </w:r>
      <w:r>
        <w:rPr>
          <w:rFonts w:eastAsia="Times New Roman" w:cs="Times New Roman" w:ascii="Times New Roman" w:hAnsi="Times New Roman"/>
          <w:sz w:val="24"/>
          <w:szCs w:val="24"/>
        </w:rPr>
        <w:t xml:space="preserve"> (p. 1187–1201). Association for Computing Machinery.</w:t>
      </w:r>
      <w:hyperlink r:id="rId8">
        <w:r>
          <w:rPr>
            <w:rFonts w:eastAsia="Times New Roman" w:cs="Times New Roman" w:ascii="Times New Roman" w:hAnsi="Times New Roman"/>
            <w:sz w:val="24"/>
            <w:szCs w:val="24"/>
          </w:rPr>
          <w:t xml:space="preserve"> </w:t>
        </w:r>
      </w:hyperlink>
      <w:hyperlink r:id="rId9">
        <w:r>
          <w:rPr>
            <w:rFonts w:eastAsia="Times New Roman" w:cs="Times New Roman" w:ascii="Times New Roman" w:hAnsi="Times New Roman"/>
            <w:color w:val="1155CC"/>
            <w:sz w:val="24"/>
            <w:szCs w:val="24"/>
            <w:u w:val="single"/>
          </w:rPr>
          <w:t>https://doi.org/10.1145/3548606.3559379</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(2003). Secure Applications of Pedersen’s Distributed Key Generation Protocol. In </w:t>
      </w:r>
      <w:r>
        <w:rPr>
          <w:rFonts w:eastAsia="Times New Roman" w:cs="Times New Roman" w:ascii="Times New Roman" w:hAnsi="Times New Roman"/>
          <w:i/>
          <w:sz w:val="24"/>
          <w:szCs w:val="24"/>
        </w:rPr>
        <w:t>Topics in Cryptology - CT-RSA 2003, The Cryptographers’ Track at the RSA Conference 2003, San Francisco, CA, USA, April 13-17, 2003, Proceedings</w:t>
      </w:r>
      <w:r>
        <w:rPr>
          <w:rFonts w:eastAsia="Times New Roman" w:cs="Times New Roman" w:ascii="Times New Roman" w:hAnsi="Times New Roman"/>
          <w:sz w:val="24"/>
          <w:szCs w:val="24"/>
        </w:rPr>
        <w:t xml:space="preserve"> (pp. 373–390).</w:t>
      </w:r>
      <w:hyperlink r:id="rId10">
        <w:r>
          <w:rPr>
            <w:rFonts w:eastAsia="Times New Roman" w:cs="Times New Roman" w:ascii="Times New Roman" w:hAnsi="Times New Roman"/>
            <w:sz w:val="24"/>
            <w:szCs w:val="24"/>
          </w:rPr>
          <w:t xml:space="preserve"> </w:t>
        </w:r>
      </w:hyperlink>
      <w:hyperlink r:id="rId11">
        <w:r>
          <w:rPr>
            <w:rFonts w:eastAsia="Times New Roman" w:cs="Times New Roman" w:ascii="Times New Roman" w:hAnsi="Times New Roman"/>
            <w:color w:val="1155CC"/>
            <w:sz w:val="24"/>
            <w:szCs w:val="24"/>
            <w:u w:val="single"/>
          </w:rPr>
          <w:t>https://doi.org/10.1007/3-540-36563-X_26</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(2007). Secure Distributed Key Generation for Discrete-Log Based Cryptosystems. </w:t>
      </w:r>
      <w:r>
        <w:rPr>
          <w:rFonts w:eastAsia="Times New Roman" w:cs="Times New Roman" w:ascii="Times New Roman" w:hAnsi="Times New Roman"/>
          <w:i/>
          <w:sz w:val="24"/>
          <w:szCs w:val="24"/>
        </w:rPr>
        <w:t>Journal of Cryptology, 20</w:t>
      </w:r>
      <w:r>
        <w:rPr>
          <w:rFonts w:eastAsia="Times New Roman" w:cs="Times New Roman" w:ascii="Times New Roman" w:hAnsi="Times New Roman"/>
          <w:sz w:val="24"/>
          <w:szCs w:val="24"/>
        </w:rPr>
        <w:t>(1), 51–83.</w:t>
      </w:r>
      <w:hyperlink r:id="rId12">
        <w:r>
          <w:rPr>
            <w:rFonts w:eastAsia="Times New Roman" w:cs="Times New Roman" w:ascii="Times New Roman" w:hAnsi="Times New Roman"/>
            <w:sz w:val="24"/>
            <w:szCs w:val="24"/>
          </w:rPr>
          <w:t xml:space="preserve"> </w:t>
        </w:r>
      </w:hyperlink>
      <w:hyperlink r:id="rId13">
        <w:r>
          <w:rPr>
            <w:rFonts w:eastAsia="Times New Roman" w:cs="Times New Roman" w:ascii="Times New Roman" w:hAnsi="Times New Roman"/>
            <w:color w:val="1155CC"/>
            <w:sz w:val="24"/>
            <w:szCs w:val="24"/>
            <w:u w:val="single"/>
          </w:rPr>
          <w:t>https://doi.org/10.1007/s00145-006-0347-3</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Guo, B., Lu, Z., Tang, Q., Xu, J., &amp; Zhang, Z. (2020). Dumbo: Faster Asynchronous BFT Protocols.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803–818). Association for Computing Machinery.</w:t>
      </w:r>
      <w:hyperlink r:id="rId14">
        <w:r>
          <w:rPr>
            <w:rFonts w:eastAsia="Times New Roman" w:cs="Times New Roman" w:ascii="Times New Roman" w:hAnsi="Times New Roman"/>
            <w:sz w:val="24"/>
            <w:szCs w:val="24"/>
          </w:rPr>
          <w:t xml:space="preserve"> </w:t>
        </w:r>
      </w:hyperlink>
      <w:hyperlink r:id="rId15">
        <w:r>
          <w:rPr>
            <w:rFonts w:eastAsia="Times New Roman" w:cs="Times New Roman" w:ascii="Times New Roman" w:hAnsi="Times New Roman"/>
            <w:color w:val="1155CC"/>
            <w:sz w:val="24"/>
            <w:szCs w:val="24"/>
            <w:u w:val="single"/>
          </w:rPr>
          <w:t>https://doi.org/10.1145/3372297.3417262</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Guo, B., Lu, Y., Lu, Z., Tang, Q., Xu, J., &amp; Zhang, Z. (2022). Speeding Dumbo: Pushing Asynchronous BFT Closer to Practice. doi:10.14722/ndss.2022.24385</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Hood, K., Oglio, J., Nesterenko, M., &amp; Sharma, G. (2021). Partitionable Asynchronous Cryptocurrency Blockchain. </w:t>
      </w:r>
      <w:r>
        <w:rPr>
          <w:rFonts w:eastAsia="Times New Roman" w:cs="Times New Roman" w:ascii="Times New Roman" w:hAnsi="Times New Roman"/>
          <w:i/>
          <w:sz w:val="24"/>
          <w:szCs w:val="24"/>
        </w:rPr>
        <w:t>IEEE International Conference on Blockchain and Cryptocurrency</w:t>
      </w:r>
      <w:r>
        <w:rPr>
          <w:rFonts w:eastAsia="Times New Roman" w:cs="Times New Roman" w:ascii="Times New Roman" w:hAnsi="Times New Roman"/>
          <w:sz w:val="24"/>
          <w:szCs w:val="24"/>
        </w:rPr>
        <w:t xml:space="preserve"> (pp. 1-9).</w:t>
      </w:r>
      <w:hyperlink r:id="rId16">
        <w:r>
          <w:rPr>
            <w:rFonts w:eastAsia="Times New Roman" w:cs="Times New Roman" w:ascii="Times New Roman" w:hAnsi="Times New Roman"/>
            <w:sz w:val="24"/>
            <w:szCs w:val="24"/>
          </w:rPr>
          <w:t xml:space="preserve"> </w:t>
        </w:r>
      </w:hyperlink>
      <w:hyperlink r:id="rId18">
        <w:r>
          <w:rPr>
            <w:rStyle w:val="InternetLink"/>
            <w:rFonts w:eastAsia="Times New Roman" w:cs="Times New Roman" w:ascii="Times New Roman" w:hAnsi="Times New Roman"/>
            <w:color w:val="1155CC"/>
            <w:sz w:val="24"/>
            <w:szCs w:val="24"/>
            <w:u w:val="single"/>
          </w:rPr>
          <w:t>https://doi.org/10.1109/ICBC51069.2021.9461080</w:t>
        </w:r>
      </w:hyperlink>
    </w:p>
    <w:p>
      <w:pPr>
        <w:pStyle w:val="Normal"/>
        <w:spacing w:lineRule="auto" w:line="480" w:before="240" w:after="240"/>
        <w:rPr>
          <w:rFonts w:ascii="Times New Roman" w:hAnsi="Times New Roman" w:eastAsia="Times New Roman" w:cs="Times New Roman"/>
          <w:color w:val="1155CC"/>
          <w:sz w:val="24"/>
          <w:szCs w:val="24"/>
          <w:u w:val="single"/>
        </w:rPr>
      </w:pPr>
      <w:r>
        <w:rPr/>
      </w:r>
    </w:p>
    <w:p>
      <w:pPr>
        <w:pStyle w:val="Normal"/>
        <w:spacing w:lineRule="auto" w:line="480" w:before="240" w:after="240"/>
        <w:rPr>
          <w:rFonts w:ascii="Times New Roman" w:hAnsi="Times New Roman" w:eastAsia="Times New Roman" w:cs="Times New Roman"/>
          <w:color w:val="1155CC"/>
          <w:sz w:val="24"/>
          <w:szCs w:val="24"/>
          <w:u w:val="single"/>
        </w:rPr>
      </w:pPr>
      <w:r>
        <w:rPr/>
        <w:t>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pPr>
        <w:pStyle w:val="Normal"/>
        <w:spacing w:lineRule="auto" w:line="480" w:before="240" w:after="240"/>
        <w:rPr>
          <w:highlight w:val="yellow"/>
        </w:rPr>
      </w:pPr>
      <w:r>
        <w:rPr>
          <w:highlight w:val="yellow"/>
        </w:rPr>
        <w:t>In-text citation: (Hussein &amp; Al-Gailani, 2022)</w:t>
      </w:r>
    </w:p>
    <w:p>
      <w:pPr>
        <w:pStyle w:val="Normal"/>
        <w:spacing w:lineRule="auto" w:line="480" w:before="240" w:after="240"/>
        <w:rPr>
          <w:rFonts w:ascii="Times New Roman" w:hAnsi="Times New Roman" w:eastAsia="Times New Roman" w:cs="Times New Roman"/>
          <w:color w:val="1155CC"/>
          <w:sz w:val="24"/>
          <w:szCs w:val="24"/>
          <w:u w:val="single"/>
        </w:rPr>
      </w:pPr>
      <w:r>
        <w:rPr/>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Kogias, E. K., Malkhi, D., &amp; Spiegelman, A. (2020). Asynchronous Distributed Key Generation for Computationally-Secure Randomness, Consensus, and Threshold Signatures.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1751–1767). Association for Computing Machinery.</w:t>
      </w:r>
      <w:hyperlink r:id="rId19">
        <w:r>
          <w:rPr>
            <w:rFonts w:eastAsia="Times New Roman" w:cs="Times New Roman" w:ascii="Times New Roman" w:hAnsi="Times New Roman"/>
            <w:sz w:val="24"/>
            <w:szCs w:val="24"/>
          </w:rPr>
          <w:t xml:space="preserve"> </w:t>
        </w:r>
      </w:hyperlink>
      <w:hyperlink r:id="rId20">
        <w:r>
          <w:rPr>
            <w:rFonts w:eastAsia="Times New Roman" w:cs="Times New Roman" w:ascii="Times New Roman" w:hAnsi="Times New Roman"/>
            <w:color w:val="1155CC"/>
            <w:sz w:val="24"/>
            <w:szCs w:val="24"/>
            <w:u w:val="single"/>
          </w:rPr>
          <w:t>https://doi.org/10.1145/3372297.3423364</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Knudsen, H., Li, J., Notland, J., Haro, P., &amp; Ræder, T. (2021). High-Performance Asynchronous Byzantine Fault Tolerance Consensus Protocol. </w:t>
      </w:r>
      <w:r>
        <w:rPr>
          <w:rFonts w:eastAsia="Times New Roman" w:cs="Times New Roman" w:ascii="Times New Roman" w:hAnsi="Times New Roman"/>
          <w:i/>
          <w:sz w:val="24"/>
          <w:szCs w:val="24"/>
        </w:rPr>
        <w:t>IEEE International Conference on Blockchain</w:t>
      </w:r>
      <w:r>
        <w:rPr>
          <w:rFonts w:eastAsia="Times New Roman" w:cs="Times New Roman" w:ascii="Times New Roman" w:hAnsi="Times New Roman"/>
          <w:sz w:val="24"/>
          <w:szCs w:val="24"/>
        </w:rPr>
        <w:t xml:space="preserve"> (pp. 476-483).</w:t>
      </w:r>
      <w:hyperlink r:id="rId21">
        <w:r>
          <w:rPr>
            <w:rFonts w:eastAsia="Times New Roman" w:cs="Times New Roman" w:ascii="Times New Roman" w:hAnsi="Times New Roman"/>
            <w:sz w:val="24"/>
            <w:szCs w:val="24"/>
          </w:rPr>
          <w:t xml:space="preserve"> </w:t>
        </w:r>
      </w:hyperlink>
      <w:hyperlink r:id="rId22">
        <w:r>
          <w:rPr>
            <w:rFonts w:eastAsia="Times New Roman" w:cs="Times New Roman" w:ascii="Times New Roman" w:hAnsi="Times New Roman"/>
            <w:color w:val="1155CC"/>
            <w:sz w:val="24"/>
            <w:szCs w:val="24"/>
            <w:u w:val="single"/>
          </w:rPr>
          <w:t>https://doi.org/10.1109/Blockchain53845.2021.00073</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Miller, A., Xia, Y., Croman, K., Shi, E., &amp; Song, D. (2016). The Honey Badger of BFT Protocols. </w:t>
      </w:r>
      <w:r>
        <w:rPr>
          <w:rFonts w:eastAsia="Times New Roman" w:cs="Times New Roman" w:ascii="Times New Roman" w:hAnsi="Times New Roman"/>
          <w:i/>
          <w:sz w:val="24"/>
          <w:szCs w:val="24"/>
        </w:rPr>
        <w:t>Proceedings of the 2016 ACM SIGSAC Conference on Computer and Communications Security</w:t>
      </w:r>
      <w:r>
        <w:rPr>
          <w:rFonts w:eastAsia="Times New Roman" w:cs="Times New Roman" w:ascii="Times New Roman" w:hAnsi="Times New Roman"/>
          <w:sz w:val="24"/>
          <w:szCs w:val="24"/>
        </w:rPr>
        <w:t xml:space="preserve"> (pp. 31–42).</w:t>
      </w:r>
      <w:hyperlink r:id="rId23">
        <w:r>
          <w:rPr>
            <w:rFonts w:eastAsia="Times New Roman" w:cs="Times New Roman" w:ascii="Times New Roman" w:hAnsi="Times New Roman"/>
            <w:sz w:val="24"/>
            <w:szCs w:val="24"/>
          </w:rPr>
          <w:t xml:space="preserve"> </w:t>
        </w:r>
      </w:hyperlink>
      <w:hyperlink r:id="rId24">
        <w:r>
          <w:rPr>
            <w:rFonts w:eastAsia="Times New Roman" w:cs="Times New Roman" w:ascii="Times New Roman" w:hAnsi="Times New Roman"/>
            <w:color w:val="1155CC"/>
            <w:sz w:val="24"/>
            <w:szCs w:val="24"/>
            <w:u w:val="single"/>
          </w:rPr>
          <w:t>https://doi.org/10.1145/2976749.2978399</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Ramakrishna Kotla, Lorenzo Alvisi, Michael Dahlin, Allen Clement, and Edmund L. Wong. (2009). Zyzzyva: Speculative Byzantine fault tolerance. </w:t>
      </w:r>
      <w:r>
        <w:rPr>
          <w:rFonts w:eastAsia="Times New Roman" w:cs="Times New Roman" w:ascii="Times New Roman" w:hAnsi="Times New Roman"/>
          <w:i/>
          <w:sz w:val="24"/>
          <w:szCs w:val="24"/>
        </w:rPr>
        <w:t>ACM Transactions on Computer Systems (TOCS), 27</w:t>
      </w:r>
      <w:r>
        <w:rPr>
          <w:rFonts w:eastAsia="Times New Roman" w:cs="Times New Roman" w:ascii="Times New Roman" w:hAnsi="Times New Roman"/>
          <w:sz w:val="24"/>
          <w:szCs w:val="24"/>
        </w:rPr>
        <w:t>(4), 7:1–7:39.</w:t>
      </w:r>
      <w:hyperlink r:id="rId25">
        <w:r>
          <w:rPr>
            <w:rFonts w:eastAsia="Times New Roman" w:cs="Times New Roman" w:ascii="Times New Roman" w:hAnsi="Times New Roman"/>
            <w:sz w:val="24"/>
            <w:szCs w:val="24"/>
          </w:rPr>
          <w:t xml:space="preserve"> </w:t>
        </w:r>
      </w:hyperlink>
      <w:hyperlink r:id="rId26">
        <w:r>
          <w:rPr>
            <w:rFonts w:eastAsia="Times New Roman" w:cs="Times New Roman" w:ascii="Times New Roman" w:hAnsi="Times New Roman"/>
            <w:color w:val="1155CC"/>
            <w:sz w:val="24"/>
            <w:szCs w:val="24"/>
            <w:u w:val="single"/>
          </w:rPr>
          <w:t>https://doi.org/10.1145/1658357.1658358</w:t>
        </w:r>
      </w:hyperlink>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Silva, P., Matos, M., &amp; Barreto, J. (2023). NimbleChain: Speeding up Cryptocurrencies in General-purpose Permissionless Blockchains. </w:t>
      </w:r>
      <w:r>
        <w:rPr>
          <w:rFonts w:eastAsia="Times New Roman" w:cs="Times New Roman" w:ascii="Times New Roman" w:hAnsi="Times New Roman"/>
          <w:i/>
          <w:sz w:val="24"/>
          <w:szCs w:val="24"/>
        </w:rPr>
        <w:t>Distributed Ledger Technology, 2</w:t>
      </w:r>
      <w:r>
        <w:rPr>
          <w:rFonts w:eastAsia="Times New Roman" w:cs="Times New Roman" w:ascii="Times New Roman" w:hAnsi="Times New Roman"/>
          <w:sz w:val="24"/>
          <w:szCs w:val="24"/>
        </w:rPr>
        <w:t>(1), Article 8.</w:t>
      </w:r>
      <w:hyperlink r:id="rId27">
        <w:r>
          <w:rPr>
            <w:rFonts w:eastAsia="Times New Roman" w:cs="Times New Roman" w:ascii="Times New Roman" w:hAnsi="Times New Roman"/>
            <w:sz w:val="24"/>
            <w:szCs w:val="24"/>
          </w:rPr>
          <w:t xml:space="preserve"> </w:t>
        </w:r>
      </w:hyperlink>
      <w:hyperlink r:id="rId28">
        <w:r>
          <w:rPr>
            <w:rFonts w:eastAsia="Times New Roman" w:cs="Times New Roman" w:ascii="Times New Roman" w:hAnsi="Times New Roman"/>
            <w:color w:val="1155CC"/>
            <w:sz w:val="24"/>
            <w:szCs w:val="24"/>
            <w:u w:val="single"/>
          </w:rPr>
          <w:t>https://doi-org.ezproxylocal.library.nova.edu/10.1145/3573895</w:t>
        </w:r>
      </w:hyperlink>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Woznica, A., &amp; Kedziora, M. (2022). Performance and scalability evaluation of a permissioned Blockchain based on the Hyperledger Fabric, Sawtooth and Iroha. </w:t>
      </w:r>
      <w:r>
        <w:rPr>
          <w:rFonts w:eastAsia="Times New Roman" w:cs="Times New Roman" w:ascii="Times New Roman" w:hAnsi="Times New Roman"/>
          <w:i/>
          <w:sz w:val="24"/>
          <w:szCs w:val="24"/>
        </w:rPr>
        <w:t>Comput. Sci. Inf. Syst., 19</w:t>
      </w:r>
      <w:r>
        <w:rPr>
          <w:rFonts w:eastAsia="Times New Roman" w:cs="Times New Roman" w:ascii="Times New Roman" w:hAnsi="Times New Roman"/>
          <w:sz w:val="24"/>
          <w:szCs w:val="24"/>
        </w:rPr>
        <w:t>, 659-678.</w:t>
      </w:r>
    </w:p>
    <w:p>
      <w:pPr>
        <w:pStyle w:val="Normal"/>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Zhou, Q., Huang, H., Zheng, Z., &amp; Bian, J. (2020). Solutions to Scalability of Blockchain: A Survey. </w:t>
      </w:r>
      <w:r>
        <w:rPr>
          <w:rFonts w:eastAsia="Times New Roman" w:cs="Times New Roman" w:ascii="Times New Roman" w:hAnsi="Times New Roman"/>
          <w:i/>
          <w:sz w:val="24"/>
          <w:szCs w:val="24"/>
        </w:rPr>
        <w:t>IEEE Access</w:t>
      </w:r>
      <w:r>
        <w:rPr>
          <w:rFonts w:eastAsia="Times New Roman" w:cs="Times New Roman" w:ascii="Times New Roman" w:hAnsi="Times New Roman"/>
          <w:sz w:val="24"/>
          <w:szCs w:val="24"/>
        </w:rPr>
        <w:t>. Advance online publication.</w:t>
      </w:r>
      <w:hyperlink r:id="rId29">
        <w:r>
          <w:rPr>
            <w:rFonts w:eastAsia="Times New Roman" w:cs="Times New Roman" w:ascii="Times New Roman" w:hAnsi="Times New Roman"/>
            <w:sz w:val="24"/>
            <w:szCs w:val="24"/>
          </w:rPr>
          <w:t xml:space="preserve"> </w:t>
        </w:r>
      </w:hyperlink>
      <w:hyperlink r:id="rId30">
        <w:r>
          <w:rPr>
            <w:rFonts w:eastAsia="Times New Roman" w:cs="Times New Roman" w:ascii="Times New Roman" w:hAnsi="Times New Roman"/>
            <w:color w:val="1155CC"/>
            <w:sz w:val="24"/>
            <w:szCs w:val="24"/>
            <w:u w:val="single"/>
          </w:rPr>
          <w:t>https://doi.org/10.1109/ACCESS.2020.2967218</w:t>
        </w:r>
      </w:hyperlink>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
        <w:spacing w:lineRule="auto" w:line="480"/>
        <w:rPr>
          <w:rFonts w:ascii="Times New Roman" w:hAnsi="Times New Roman" w:eastAsia="Times New Roman" w:cs="Times New Roman"/>
          <w:sz w:val="24"/>
          <w:szCs w:val="24"/>
        </w:rPr>
      </w:pPr>
      <w:r>
        <w:rPr/>
      </w:r>
    </w:p>
    <w:sectPr>
      <w:headerReference w:type="default" r:id="rId31"/>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mment" w:date="2024-03-21T11:35:00Z" w:initials="MOU">
    <w:p>
      <w:r>
        <w:rPr>
          <w:rFonts w:ascii="Liberation Serif" w:hAnsi="Liberation Serif" w:eastAsia="DejaVu Sans" w:cs="DejaVu Sans"/>
          <w:sz w:val="24"/>
          <w:szCs w:val="24"/>
          <w:lang w:val="en-US" w:eastAsia="en-US" w:bidi="en-US"/>
        </w:rPr>
        <w:t xml:space="preserve">This paper provided a very high-level look at three potential directions for the work.  Take a look at the comments below and refine your work to provide a specific direction from the three based on distinct evidence and support from the literature.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On the surface, any of the three problem directions at this high-level may provide a direction for a detailed problem, need, and goal worthy of an idea concept paper.  Your job is to focus on one of them provided you demonstrate enough value in that direction (ie. by addressing one of the three presented directions, the protocol improvement would provide a specific measurable value).</w:t>
      </w:r>
    </w:p>
  </w:comment>
  <w:comment w:id="1" w:author="Comment" w:date="2024-03-21T10:08:00Z" w:initials="MOU">
    <w:p>
      <w:r>
        <w:rPr>
          <w:rFonts w:ascii="Liberation Serif" w:hAnsi="Liberation Serif" w:eastAsia="DejaVu Sans" w:cs="DejaVu Sans"/>
          <w:sz w:val="24"/>
          <w:szCs w:val="24"/>
          <w:lang w:val="en-US" w:eastAsia="en-US" w:bidi="en-US"/>
        </w:rPr>
        <w:t xml:space="preserve">Keep the first sentence and update to incorporate explanation of bound time that distinguishes the two consensus protocols.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The second sentence is a run-on and does not provide any new information from the first.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You have the correct idea we need to work on the presentation and order of support.</w:t>
      </w:r>
    </w:p>
  </w:comment>
  <w:comment w:id="2" w:author="Comment" w:date="2024-03-21T10:53:00Z" w:initials="MOU">
    <w:p>
      <w:r>
        <w:rPr>
          <w:rFonts w:ascii="Liberation Serif" w:hAnsi="Liberation Serif" w:eastAsia="DejaVu Sans" w:cs="DejaVu Sans"/>
          <w:sz w:val="24"/>
          <w:szCs w:val="24"/>
          <w:lang w:val="en-US" w:eastAsia="en-US" w:bidi="en-US"/>
        </w:rPr>
        <w:t>You must support this.  Again, at a very high-level this is the correct path, however you must provide more depth and support for this.  Each item you detail in this concept draft gets you closer to the idea paper.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Associating the direction with the current literature that is focused in this area is the correct pathway to support.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Also at this point you should provide some overview of what your paper will accomplish.  Then use the subsequent sections to explain on greater detail.</w:t>
      </w:r>
    </w:p>
  </w:comment>
  <w:comment w:id="3" w:author="Comment" w:date="2024-03-21T10:58:00Z" w:initials="MOU">
    <w:p>
      <w:r>
        <w:rPr>
          <w:rFonts w:ascii="Liberation Serif" w:hAnsi="Liberation Serif" w:eastAsia="DejaVu Sans" w:cs="DejaVu Sans"/>
          <w:sz w:val="24"/>
          <w:szCs w:val="24"/>
          <w:lang w:val="en-US" w:eastAsia="en-US" w:bidi="en-US"/>
        </w:rPr>
        <w:t>Provide context toward the work you will focus on not just list information.</w:t>
      </w:r>
    </w:p>
  </w:comment>
  <w:comment w:id="4" w:author="Comment" w:date="2024-03-21T10:58:00Z" w:initials="MOU">
    <w:p>
      <w:r>
        <w:rPr>
          <w:rFonts w:ascii="Liberation Serif" w:hAnsi="Liberation Serif" w:eastAsia="DejaVu Sans" w:cs="DejaVu Sans"/>
          <w:sz w:val="24"/>
          <w:szCs w:val="24"/>
          <w:lang w:val="en-US" w:eastAsia="en-US" w:bidi="en-US"/>
        </w:rPr>
        <w:t>Why?  Based on what current literature support.  Dig deep into why this direction is a potential pathway and problem domain it is addressing.</w:t>
      </w:r>
    </w:p>
  </w:comment>
  <w:comment w:id="5" w:author="Comment" w:date="2024-03-21T11:00:00Z" w:initials="MOU">
    <w:p>
      <w:r>
        <w:rPr>
          <w:rFonts w:ascii="Liberation Serif" w:hAnsi="Liberation Serif" w:eastAsia="DejaVu Sans" w:cs="DejaVu Sans"/>
          <w:sz w:val="24"/>
          <w:szCs w:val="24"/>
          <w:lang w:val="en-US" w:eastAsia="en-US" w:bidi="en-US"/>
        </w:rPr>
        <w:t>Is this something you will address in detail below?</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Just listing information does not move the work closer to a problem, need, and goal.</w:t>
      </w:r>
    </w:p>
  </w:comment>
  <w:comment w:id="6" w:author="Comment" w:date="2024-03-21T11:01:00Z" w:initials="MOU">
    <w:p>
      <w:r>
        <w:rPr>
          <w:rFonts w:ascii="Liberation Serif" w:hAnsi="Liberation Serif" w:eastAsia="DejaVu Sans" w:cs="DejaVu Sans"/>
          <w:sz w:val="24"/>
          <w:szCs w:val="24"/>
          <w:lang w:val="en-US" w:eastAsia="en-US" w:bidi="en-US"/>
        </w:rPr>
        <w:t xml:space="preserve">But why was it needed? What domain of research and target outcome influenced the direction?  </w:t>
      </w:r>
    </w:p>
  </w:comment>
  <w:comment w:id="7" w:author="Comment" w:date="2024-03-21T11:02:00Z" w:initials="MOU">
    <w:p>
      <w:r>
        <w:rPr>
          <w:rFonts w:ascii="Liberation Serif" w:hAnsi="Liberation Serif" w:eastAsia="DejaVu Sans" w:cs="DejaVu Sans"/>
          <w:sz w:val="24"/>
          <w:szCs w:val="24"/>
          <w:lang w:val="en-US" w:eastAsia="en-US" w:bidi="en-US"/>
        </w:rPr>
        <w:t>This is a fragment; there is not context or complete thought related to supporting a direction.</w:t>
      </w:r>
    </w:p>
  </w:comment>
  <w:comment w:id="8" w:author="Comment" w:date="2024-03-21T11:03:00Z" w:initials="MOU">
    <w:p>
      <w:r>
        <w:rPr>
          <w:rFonts w:ascii="Liberation Serif" w:hAnsi="Liberation Serif" w:eastAsia="DejaVu Sans" w:cs="DejaVu Sans"/>
          <w:sz w:val="24"/>
          <w:szCs w:val="24"/>
          <w:lang w:val="en-US" w:eastAsia="en-US" w:bidi="en-US"/>
        </w:rPr>
        <w:t>What is the value and evidence that supports this?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You are just listing information without synthesizing value from the current literature.</w:t>
      </w:r>
    </w:p>
  </w:comment>
  <w:comment w:id="9" w:author="Comment" w:date="2024-03-21T11:04:00Z" w:initials="MOU">
    <w:p>
      <w:r>
        <w:rPr>
          <w:rFonts w:ascii="Liberation Serif" w:hAnsi="Liberation Serif" w:eastAsia="DejaVu Sans" w:cs="DejaVu Sans"/>
          <w:sz w:val="24"/>
          <w:szCs w:val="24"/>
          <w:lang w:val="en-US" w:eastAsia="en-US" w:bidi="en-US"/>
        </w:rPr>
        <w:t>This is a run-on sentence.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How does this provide a contribution based on some qualitative and or quantitative value as supported by the literature in the domain?</w:t>
      </w:r>
    </w:p>
  </w:comment>
  <w:comment w:id="10" w:author="Comment" w:date="2024-03-21T11:09:00Z" w:initials="MOU">
    <w:p>
      <w:r>
        <w:rPr>
          <w:rFonts w:ascii="Liberation Serif" w:hAnsi="Liberation Serif" w:eastAsia="DejaVu Sans" w:cs="DejaVu Sans"/>
          <w:sz w:val="24"/>
          <w:szCs w:val="24"/>
          <w:lang w:val="en-US" w:eastAsia="en-US" w:bidi="en-US"/>
        </w:rPr>
        <w:t>You must elaborate and support this.  How is it reputable?  Based on what known metrics and analysis?  What workload?  What past work did not achieve this?  What other current work has addressed this?  Why is Aleph not adequate for some specific supported environment and workload and thus why is more work required?</w:t>
      </w:r>
    </w:p>
  </w:comment>
  <w:comment w:id="11" w:author="Comment" w:date="2024-03-21T11:20:00Z" w:initials="MOU">
    <w:p>
      <w:r>
        <w:rPr>
          <w:rFonts w:ascii="Liberation Serif" w:hAnsi="Liberation Serif" w:eastAsia="DejaVu Sans" w:cs="DejaVu Sans"/>
          <w:sz w:val="24"/>
          <w:szCs w:val="24"/>
          <w:lang w:val="en-US" w:eastAsia="en-US" w:bidi="en-US"/>
        </w:rPr>
        <w:t>I am assuming you are just listing possible directions at a very terse and high-level not indicating these three are to form the focus of the idea concept paper.</w:t>
      </w:r>
    </w:p>
  </w:comment>
  <w:comment w:id="12" w:author="Comment" w:date="2024-03-21T11:21:00Z" w:initials="MOU">
    <w:p>
      <w:r>
        <w:rPr>
          <w:rFonts w:ascii="Liberation Serif" w:hAnsi="Liberation Serif" w:eastAsia="DejaVu Sans" w:cs="DejaVu Sans"/>
          <w:sz w:val="24"/>
          <w:szCs w:val="24"/>
          <w:lang w:val="en-US" w:eastAsia="en-US" w:bidi="en-US"/>
        </w:rPr>
        <w:t>Is this form of denial of service attack common in this domain?  What literature supports the relevance and significance of this area?  Given Aleph is an example of a specific protocol type, how is this generalizable?  Why is this problem not a sole focus of the work (ie. why have you listed other problems below and thus how are any of them linked to a single research focus?)</w:t>
      </w:r>
    </w:p>
  </w:comment>
  <w:comment w:id="13" w:author="Comment" w:date="2024-03-21T11:24:00Z" w:initials="MOU">
    <w:p>
      <w:r>
        <w:rPr>
          <w:rFonts w:ascii="Liberation Serif" w:hAnsi="Liberation Serif" w:eastAsia="DejaVu Sans" w:cs="DejaVu Sans"/>
          <w:sz w:val="24"/>
          <w:szCs w:val="24"/>
          <w:lang w:val="en-US" w:eastAsia="en-US" w:bidi="en-US"/>
        </w:rPr>
        <w:t>This is just a statement that provides no evidence or support for a direction.  Just because a statement is made that something may improve does not indicate support for research direction.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When you mention scale you must fully detail and support the context and value of current methods and why they are inadequate for a specific domain and workload as supported by a need in some environment.</w:t>
      </w:r>
    </w:p>
  </w:comment>
  <w:comment w:id="14" w:author="Comment" w:date="2024-03-21T11:26:00Z" w:initials="MOU">
    <w:p>
      <w:r>
        <w:rPr>
          <w:rFonts w:ascii="Liberation Serif" w:hAnsi="Liberation Serif" w:eastAsia="DejaVu Sans" w:cs="DejaVu Sans"/>
          <w:sz w:val="24"/>
          <w:szCs w:val="24"/>
          <w:lang w:val="en-US" w:eastAsia="en-US" w:bidi="en-US"/>
        </w:rPr>
        <w:t>This could be a focus provided there is adequate support for why it is a problem, it impact, cost, and why it must be addressed.  What has been accomplished in this area?</w:t>
      </w:r>
    </w:p>
  </w:comment>
  <w:comment w:id="15" w:author="Comment" w:date="2024-03-21T11:27:00Z" w:initials="MOU">
    <w:p>
      <w:r>
        <w:rPr>
          <w:rFonts w:ascii="Liberation Serif" w:hAnsi="Liberation Serif" w:eastAsia="DejaVu Sans" w:cs="DejaVu Sans"/>
          <w:sz w:val="24"/>
          <w:szCs w:val="24"/>
          <w:lang w:val="en-US" w:eastAsia="en-US" w:bidi="en-US"/>
        </w:rPr>
        <w:t>Again, I am assuming this is a terse list of potential outcomes based on the disjoint problem listings above.</w:t>
      </w:r>
    </w:p>
  </w:comment>
  <w:comment w:id="16" w:author="Comment" w:date="2024-03-21T11:29:00Z" w:initials="MOU">
    <w:p>
      <w:r>
        <w:rPr>
          <w:rFonts w:ascii="Liberation Serif" w:hAnsi="Liberation Serif" w:eastAsia="DejaVu Sans" w:cs="DejaVu Sans"/>
          <w:sz w:val="24"/>
          <w:szCs w:val="24"/>
          <w:lang w:val="en-US" w:eastAsia="en-US" w:bidi="en-US"/>
        </w:rPr>
        <w:t>Again, you are just listing information at a very high-level.  These cannot be evaluated as stated to show an outcome that is an improvement over current designs and implementations.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Some of this may be the approach, but there is not a clear and measurable goal based on a clear and concise supported problem.</w:t>
      </w:r>
    </w:p>
  </w:comment>
  <w:comment w:id="17" w:author="Comment" w:date="2024-03-21T11:31:00Z" w:initials="MOU">
    <w:p>
      <w:r>
        <w:rPr>
          <w:rFonts w:ascii="Liberation Serif" w:hAnsi="Liberation Serif" w:eastAsia="DejaVu Sans" w:cs="DejaVu Sans"/>
          <w:sz w:val="24"/>
          <w:szCs w:val="24"/>
          <w:lang w:val="en-US" w:eastAsia="en-US" w:bidi="en-US"/>
        </w:rPr>
        <w:t>Not a clear and measurable goal.</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How is complexity defined, measured, addressed in current work, and why must it be reduced for specific domains and workloads?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Again, this is just a terse direction where you are stating a potential high-level approach without a clear problem or goal.</w:t>
      </w:r>
    </w:p>
  </w:comment>
  <w:comment w:id="18" w:author="Comment" w:date="2024-03-21T11:34:00Z" w:initials="MOU">
    <w:p>
      <w:r>
        <w:rPr>
          <w:rFonts w:ascii="Liberation Serif" w:hAnsi="Liberation Serif" w:eastAsia="DejaVu Sans" w:cs="DejaVu Sans"/>
          <w:sz w:val="24"/>
          <w:szCs w:val="24"/>
          <w:lang w:val="en-US" w:eastAsia="en-US" w:bidi="en-US"/>
        </w:rPr>
        <w:t>Again, you are just listing information at a very high-level.  These cannot be evaluated as stated to show an outcome that is an improvement over current designs and implementations.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Some of this may be the approach, but there is not a clear and measurable goal based on a clear and concise supported problem.</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Eric Webb</w:t>
    </w:r>
  </w:p>
  <w:p>
    <w:pPr>
      <w:pStyle w:val="Normal"/>
      <w:rPr/>
    </w:pPr>
    <w:r>
      <w:rPr/>
      <w:t>N01927543</w:t>
    </w:r>
  </w:p>
  <w:p>
    <w:pPr>
      <w:pStyle w:val="Normal"/>
      <w:rPr/>
    </w:pPr>
    <w:hyperlink r:id="rId1">
      <w:r>
        <w:rPr>
          <w:color w:val="1155CC"/>
          <w:u w:val="single"/>
        </w:rPr>
        <w:t>ew774@mynsu.nova.edu</w:t>
      </w:r>
    </w:hyperlink>
  </w:p>
  <w:p>
    <w:pPr>
      <w:pStyle w:val="Normal"/>
      <w:rPr/>
    </w:pPr>
    <w:r>
      <w:rPr/>
      <w:t>Idea Concept</w:t>
    </w:r>
  </w:p>
</w:hdr>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e7e70"/>
    <w:rPr>
      <w:sz w:val="16"/>
      <w:szCs w:val="16"/>
    </w:rPr>
  </w:style>
  <w:style w:type="character" w:styleId="CommentTextChar" w:customStyle="1">
    <w:name w:val="Comment Text Char"/>
    <w:basedOn w:val="DefaultParagraphFont"/>
    <w:link w:val="CommentText"/>
    <w:uiPriority w:val="99"/>
    <w:semiHidden/>
    <w:qFormat/>
    <w:rsid w:val="001e7e70"/>
    <w:rPr>
      <w:sz w:val="20"/>
      <w:szCs w:val="20"/>
    </w:rPr>
  </w:style>
  <w:style w:type="character" w:styleId="CommentSubjectChar" w:customStyle="1">
    <w:name w:val="Comment Subject Char"/>
    <w:basedOn w:val="CommentTextChar"/>
    <w:link w:val="CommentSubject"/>
    <w:uiPriority w:val="99"/>
    <w:semiHidden/>
    <w:qFormat/>
    <w:rsid w:val="001e7e70"/>
    <w:rPr>
      <w:b/>
      <w:bCs/>
      <w:sz w:val="20"/>
      <w:szCs w:val="20"/>
    </w:rPr>
  </w:style>
  <w:style w:type="character" w:styleId="BalloonTextChar" w:customStyle="1">
    <w:name w:val="Balloon Text Char"/>
    <w:basedOn w:val="DefaultParagraphFont"/>
    <w:link w:val="BalloonText"/>
    <w:uiPriority w:val="99"/>
    <w:semiHidden/>
    <w:qFormat/>
    <w:rsid w:val="001e7e70"/>
    <w:rPr>
      <w:rFonts w:ascii="Times New Roman" w:hAnsi="Times New Roman" w:cs="Times New Roman"/>
      <w:sz w:val="18"/>
      <w:szCs w:val="18"/>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e7e7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e7e70"/>
    <w:pPr/>
    <w:rPr>
      <w:b/>
      <w:bCs/>
    </w:rPr>
  </w:style>
  <w:style w:type="paragraph" w:styleId="BalloonText">
    <w:name w:val="Balloon Text"/>
    <w:basedOn w:val="Normal"/>
    <w:link w:val="BalloonTextChar"/>
    <w:uiPriority w:val="99"/>
    <w:semiHidden/>
    <w:unhideWhenUsed/>
    <w:qFormat/>
    <w:rsid w:val="001e7e70"/>
    <w:pPr>
      <w:spacing w:lineRule="auto" w:line="240"/>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10.1109/COINS49042.2020.9191430" TargetMode="External"/><Relationship Id="rId4" Type="http://schemas.openxmlformats.org/officeDocument/2006/relationships/hyperlink" Target="https://doi-org.ezproxylocal.library.nova.edu/10.1145/3477314.3507245" TargetMode="External"/><Relationship Id="rId5" Type="http://schemas.openxmlformats.org/officeDocument/2006/relationships/hyperlink" Target="https://doi-org.ezproxylocal.library.nova.edu/10.1145/3477314.3507245" TargetMode="External"/><Relationship Id="rId6" Type="http://schemas.openxmlformats.org/officeDocument/2006/relationships/hyperlink" Target="https://doi.org/10.1145/3243734.3243812" TargetMode="External"/><Relationship Id="rId7" Type="http://schemas.openxmlformats.org/officeDocument/2006/relationships/hyperlink" Target="https://doi.org/10.1145/3243734.3243812" TargetMode="External"/><Relationship Id="rId8" Type="http://schemas.openxmlformats.org/officeDocument/2006/relationships/hyperlink" Target="https://doi.org/10.1145/3548606.3559379" TargetMode="External"/><Relationship Id="rId9" Type="http://schemas.openxmlformats.org/officeDocument/2006/relationships/hyperlink" Target="https://doi.org/10.1145/3548606.3559379" TargetMode="External"/><Relationship Id="rId10" Type="http://schemas.openxmlformats.org/officeDocument/2006/relationships/hyperlink" Target="https://doi.org/10.1007/3-540-36563-X_26" TargetMode="External"/><Relationship Id="rId11" Type="http://schemas.openxmlformats.org/officeDocument/2006/relationships/hyperlink" Target="https://doi.org/10.1007/3-540-36563-X_26" TargetMode="External"/><Relationship Id="rId12" Type="http://schemas.openxmlformats.org/officeDocument/2006/relationships/hyperlink" Target="https://doi.org/10.1007/s00145-006-0347-3" TargetMode="External"/><Relationship Id="rId13" Type="http://schemas.openxmlformats.org/officeDocument/2006/relationships/hyperlink" Target="https://doi.org/10.1007/s00145-006-0347-3" TargetMode="External"/><Relationship Id="rId14" Type="http://schemas.openxmlformats.org/officeDocument/2006/relationships/hyperlink" Target="https://doi.org/10.1145/3372297.3417262" TargetMode="External"/><Relationship Id="rId15" Type="http://schemas.openxmlformats.org/officeDocument/2006/relationships/hyperlink" Target="https://doi.org/10.1145/3372297.3417262" TargetMode="External"/><Relationship Id="rId16" Type="http://schemas.openxmlformats.org/officeDocument/2006/relationships/hyperlink" Target="https://doi.org/10.1109/ICBC51069.2021.9461080" TargetMode="External"/><Relationship Id="rId17" Type="http://schemas.openxmlformats.org/officeDocument/2006/relationships/hyperlink" Target="https://doi.org/10.1109/ICBC51069.2021.9461080" TargetMode="External"/><Relationship Id="rId18" Type="http://schemas.openxmlformats.org/officeDocument/2006/relationships/hyperlink" Target="" TargetMode="External"/><Relationship Id="rId19" Type="http://schemas.openxmlformats.org/officeDocument/2006/relationships/hyperlink" Target="https://doi.org/10.1145/3372297.3423364" TargetMode="External"/><Relationship Id="rId20" Type="http://schemas.openxmlformats.org/officeDocument/2006/relationships/hyperlink" Target="https://doi.org/10.1145/3372297.3423364" TargetMode="External"/><Relationship Id="rId21" Type="http://schemas.openxmlformats.org/officeDocument/2006/relationships/hyperlink" Target="https://doi.org/10.1109/Blockchain53845.2021.00073" TargetMode="External"/><Relationship Id="rId22" Type="http://schemas.openxmlformats.org/officeDocument/2006/relationships/hyperlink" Target="https://doi.org/10.1109/Blockchain53845.2021.00073" TargetMode="External"/><Relationship Id="rId23" Type="http://schemas.openxmlformats.org/officeDocument/2006/relationships/hyperlink" Target="https://doi.org/10.1145/2976749.2978399" TargetMode="External"/><Relationship Id="rId24" Type="http://schemas.openxmlformats.org/officeDocument/2006/relationships/hyperlink" Target="https://doi.org/10.1145/2976749.2978399" TargetMode="External"/><Relationship Id="rId25" Type="http://schemas.openxmlformats.org/officeDocument/2006/relationships/hyperlink" Target="https://doi.org/10.1145/1658357.1658358" TargetMode="External"/><Relationship Id="rId26" Type="http://schemas.openxmlformats.org/officeDocument/2006/relationships/hyperlink" Target="https://doi.org/10.1145/1658357.1658358" TargetMode="External"/><Relationship Id="rId27" Type="http://schemas.openxmlformats.org/officeDocument/2006/relationships/hyperlink" Target="https://doi-org.ezproxylocal.library.nova.edu/10.1145/3573895" TargetMode="External"/><Relationship Id="rId28" Type="http://schemas.openxmlformats.org/officeDocument/2006/relationships/hyperlink" Target="https://doi-org.ezproxylocal.library.nova.edu/10.1145/3573895" TargetMode="External"/><Relationship Id="rId29" Type="http://schemas.openxmlformats.org/officeDocument/2006/relationships/hyperlink" Target="https://doi.org/10.1109/ACCESS.2020.2967218" TargetMode="External"/><Relationship Id="rId30" Type="http://schemas.openxmlformats.org/officeDocument/2006/relationships/hyperlink" Target="https://doi.org/10.1109/ACCESS.2020.2967218" TargetMode="External"/><Relationship Id="rId31" Type="http://schemas.openxmlformats.org/officeDocument/2006/relationships/header" Target="header1.xml"/><Relationship Id="rId32" Type="http://schemas.openxmlformats.org/officeDocument/2006/relationships/comments" Target="comments.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8526</TotalTime>
  <Application>LibreOffice/6.4.7.2$Linux_X86_64 LibreOffice_project/40$Build-2</Application>
  <Pages>10</Pages>
  <Words>1650</Words>
  <Characters>10417</Characters>
  <CharactersWithSpaces>12040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2024-03-21T13:53:00Z</dcterms:created>
  <dc:creator/>
  <dc:description/>
  <dc:language>en-US</dc:language>
  <cp:lastModifiedBy/>
  <dcterms:modified xsi:type="dcterms:W3CDTF">2024-04-22T18:36:01Z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