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0AFD" w:rsidRPr="000D411F" w:rsidRDefault="00EF0AFD" w:rsidP="00EF0AFD">
      <w:pPr>
        <w:shd w:val="clear" w:color="auto" w:fill="FFFFFF"/>
        <w:spacing w:before="150" w:after="150" w:line="510" w:lineRule="atLeast"/>
        <w:ind w:firstLine="0"/>
        <w:jc w:val="both"/>
        <w:textAlignment w:val="baseline"/>
        <w:outlineLvl w:val="2"/>
        <w:rPr>
          <w:rFonts w:ascii="Lato" w:eastAsia="Times New Roman" w:hAnsi="Lato" w:cs="Times New Roman"/>
          <w:color w:val="181818"/>
          <w:sz w:val="53"/>
          <w:szCs w:val="39"/>
          <w:lang w:eastAsia="pt-BR"/>
        </w:rPr>
      </w:pPr>
      <w:r w:rsidRPr="000D411F">
        <w:rPr>
          <w:rFonts w:ascii="Lato" w:eastAsia="Times New Roman" w:hAnsi="Lato" w:cs="Times New Roman"/>
          <w:color w:val="181818"/>
          <w:sz w:val="53"/>
          <w:szCs w:val="39"/>
          <w:lang w:eastAsia="pt-BR"/>
        </w:rPr>
        <w:t xml:space="preserve">Seção 5 – Política de </w:t>
      </w:r>
      <w:proofErr w:type="spellStart"/>
      <w:r w:rsidRPr="000D411F">
        <w:rPr>
          <w:rFonts w:ascii="Lato" w:eastAsia="Times New Roman" w:hAnsi="Lato" w:cs="Times New Roman"/>
          <w:color w:val="181818"/>
          <w:sz w:val="53"/>
          <w:szCs w:val="39"/>
          <w:lang w:eastAsia="pt-BR"/>
        </w:rPr>
        <w:t>Segurança</w:t>
      </w:r>
      <w:proofErr w:type="spellEnd"/>
      <w:r w:rsidRPr="000D411F">
        <w:rPr>
          <w:rFonts w:ascii="Lato" w:eastAsia="Times New Roman" w:hAnsi="Lato" w:cs="Times New Roman"/>
          <w:color w:val="181818"/>
          <w:sz w:val="53"/>
          <w:szCs w:val="39"/>
          <w:lang w:eastAsia="pt-BR"/>
        </w:rPr>
        <w:t xml:space="preserve"> da </w:t>
      </w:r>
      <w:proofErr w:type="spellStart"/>
      <w:r w:rsidRPr="000D411F">
        <w:rPr>
          <w:rFonts w:ascii="Lato" w:eastAsia="Times New Roman" w:hAnsi="Lato" w:cs="Times New Roman"/>
          <w:color w:val="181818"/>
          <w:sz w:val="53"/>
          <w:szCs w:val="39"/>
          <w:lang w:eastAsia="pt-BR"/>
        </w:rPr>
        <w:t>Informação</w:t>
      </w:r>
      <w:proofErr w:type="spellEnd"/>
    </w:p>
    <w:p w:rsidR="00EF0AFD" w:rsidRPr="000D411F" w:rsidRDefault="00EF0AFD" w:rsidP="00EF0AFD">
      <w:pPr>
        <w:shd w:val="clear" w:color="auto" w:fill="FFFFFF"/>
        <w:spacing w:after="300" w:line="240" w:lineRule="auto"/>
        <w:ind w:firstLine="0"/>
        <w:jc w:val="both"/>
        <w:textAlignment w:val="baseline"/>
        <w:rPr>
          <w:rFonts w:ascii="Lato" w:eastAsia="Times New Roman" w:hAnsi="Lato" w:cs="Times New Roman"/>
          <w:color w:val="7C7C7C"/>
          <w:sz w:val="38"/>
          <w:szCs w:val="24"/>
          <w:lang w:eastAsia="pt-BR"/>
        </w:rPr>
      </w:pPr>
      <w:r w:rsidRPr="000D411F">
        <w:rPr>
          <w:rFonts w:ascii="Lato" w:eastAsia="Times New Roman" w:hAnsi="Lato" w:cs="Times New Roman"/>
          <w:color w:val="7C7C7C"/>
          <w:sz w:val="38"/>
          <w:szCs w:val="24"/>
          <w:lang w:eastAsia="pt-BR"/>
        </w:rPr>
        <w:t>Deve ser criado um documento sobre a política de segurança da informação da empresa, que deve conter os conceitos de segurança da informação, uma estrutura para estabelecer os objetivos e as formas de controle, o comprometimento da direção com a política, entre tantos outros fatores.</w:t>
      </w:r>
    </w:p>
    <w:p w:rsidR="00EF0AFD" w:rsidRPr="000D411F" w:rsidRDefault="00EF0AFD" w:rsidP="00EF0AFD">
      <w:pPr>
        <w:shd w:val="clear" w:color="auto" w:fill="FFFFFF"/>
        <w:spacing w:before="150" w:after="150" w:line="510" w:lineRule="atLeast"/>
        <w:ind w:firstLine="0"/>
        <w:jc w:val="both"/>
        <w:textAlignment w:val="baseline"/>
        <w:outlineLvl w:val="2"/>
        <w:rPr>
          <w:rFonts w:ascii="Lato" w:eastAsia="Times New Roman" w:hAnsi="Lato" w:cs="Times New Roman"/>
          <w:color w:val="181818"/>
          <w:sz w:val="53"/>
          <w:szCs w:val="39"/>
          <w:lang w:eastAsia="pt-BR"/>
        </w:rPr>
      </w:pPr>
      <w:r w:rsidRPr="000D411F">
        <w:rPr>
          <w:rFonts w:ascii="Lato" w:eastAsia="Times New Roman" w:hAnsi="Lato" w:cs="Times New Roman"/>
          <w:color w:val="181818"/>
          <w:sz w:val="53"/>
          <w:szCs w:val="39"/>
          <w:lang w:eastAsia="pt-BR"/>
        </w:rPr>
        <w:t xml:space="preserve">Seção 6 – Organização da </w:t>
      </w:r>
      <w:proofErr w:type="spellStart"/>
      <w:r w:rsidRPr="000D411F">
        <w:rPr>
          <w:rFonts w:ascii="Lato" w:eastAsia="Times New Roman" w:hAnsi="Lato" w:cs="Times New Roman"/>
          <w:color w:val="181818"/>
          <w:sz w:val="53"/>
          <w:szCs w:val="39"/>
          <w:lang w:eastAsia="pt-BR"/>
        </w:rPr>
        <w:t>Segurança</w:t>
      </w:r>
      <w:proofErr w:type="spellEnd"/>
      <w:r w:rsidRPr="000D411F">
        <w:rPr>
          <w:rFonts w:ascii="Lato" w:eastAsia="Times New Roman" w:hAnsi="Lato" w:cs="Times New Roman"/>
          <w:color w:val="181818"/>
          <w:sz w:val="53"/>
          <w:szCs w:val="39"/>
          <w:lang w:eastAsia="pt-BR"/>
        </w:rPr>
        <w:t xml:space="preserve"> da </w:t>
      </w:r>
      <w:proofErr w:type="spellStart"/>
      <w:r w:rsidRPr="000D411F">
        <w:rPr>
          <w:rFonts w:ascii="Lato" w:eastAsia="Times New Roman" w:hAnsi="Lato" w:cs="Times New Roman"/>
          <w:color w:val="181818"/>
          <w:sz w:val="53"/>
          <w:szCs w:val="39"/>
          <w:lang w:eastAsia="pt-BR"/>
        </w:rPr>
        <w:t>Informação</w:t>
      </w:r>
      <w:proofErr w:type="spellEnd"/>
    </w:p>
    <w:p w:rsidR="00EF0AFD" w:rsidRPr="000D411F" w:rsidRDefault="00EF0AFD" w:rsidP="00EF0AFD">
      <w:pPr>
        <w:shd w:val="clear" w:color="auto" w:fill="FFFFFF"/>
        <w:spacing w:after="300" w:line="240" w:lineRule="auto"/>
        <w:ind w:firstLine="0"/>
        <w:jc w:val="both"/>
        <w:textAlignment w:val="baseline"/>
        <w:rPr>
          <w:rFonts w:ascii="Lato" w:eastAsia="Times New Roman" w:hAnsi="Lato" w:cs="Times New Roman"/>
          <w:color w:val="7C7C7C"/>
          <w:sz w:val="38"/>
          <w:szCs w:val="24"/>
          <w:lang w:eastAsia="pt-BR"/>
        </w:rPr>
      </w:pPr>
      <w:r w:rsidRPr="000D411F">
        <w:rPr>
          <w:rFonts w:ascii="Lato" w:eastAsia="Times New Roman" w:hAnsi="Lato" w:cs="Times New Roman"/>
          <w:color w:val="7C7C7C"/>
          <w:sz w:val="38"/>
          <w:szCs w:val="24"/>
          <w:lang w:eastAsia="pt-BR"/>
        </w:rPr>
        <w:t xml:space="preserve">Para implementar a </w:t>
      </w:r>
      <w:proofErr w:type="spellStart"/>
      <w:r w:rsidRPr="000D411F">
        <w:rPr>
          <w:rFonts w:ascii="Lato" w:eastAsia="Times New Roman" w:hAnsi="Lato" w:cs="Times New Roman"/>
          <w:color w:val="7C7C7C"/>
          <w:sz w:val="38"/>
          <w:szCs w:val="24"/>
          <w:lang w:eastAsia="pt-BR"/>
        </w:rPr>
        <w:t>Segurança</w:t>
      </w:r>
      <w:proofErr w:type="spellEnd"/>
      <w:r w:rsidRPr="000D411F">
        <w:rPr>
          <w:rFonts w:ascii="Lato" w:eastAsia="Times New Roman" w:hAnsi="Lato" w:cs="Times New Roman"/>
          <w:color w:val="7C7C7C"/>
          <w:sz w:val="38"/>
          <w:szCs w:val="24"/>
          <w:lang w:eastAsia="pt-BR"/>
        </w:rPr>
        <w:t xml:space="preserve"> da </w:t>
      </w:r>
      <w:proofErr w:type="spellStart"/>
      <w:r w:rsidRPr="000D411F">
        <w:rPr>
          <w:rFonts w:ascii="Lato" w:eastAsia="Times New Roman" w:hAnsi="Lato" w:cs="Times New Roman"/>
          <w:color w:val="7C7C7C"/>
          <w:sz w:val="38"/>
          <w:szCs w:val="24"/>
          <w:lang w:eastAsia="pt-BR"/>
        </w:rPr>
        <w:t>Informação</w:t>
      </w:r>
      <w:proofErr w:type="spellEnd"/>
      <w:r w:rsidRPr="000D411F">
        <w:rPr>
          <w:rFonts w:ascii="Lato" w:eastAsia="Times New Roman" w:hAnsi="Lato" w:cs="Times New Roman"/>
          <w:color w:val="7C7C7C"/>
          <w:sz w:val="38"/>
          <w:szCs w:val="24"/>
          <w:lang w:eastAsia="pt-BR"/>
        </w:rPr>
        <w:t xml:space="preserve"> em uma empresa, é necessário estabelecer uma estrutura para gerencia-la da maneira adequada. Para isso, as atividades de segurança da informação devem ser coordenadas por representantes da organização, que devem ter responsabilidades bem definidas e proteger as informações de caráter sigiloso.</w:t>
      </w:r>
    </w:p>
    <w:p w:rsidR="00EF0AFD" w:rsidRPr="000D411F" w:rsidRDefault="00EF0AFD" w:rsidP="00EF0AFD">
      <w:pPr>
        <w:shd w:val="clear" w:color="auto" w:fill="FFFFFF"/>
        <w:spacing w:before="150" w:after="150" w:line="510" w:lineRule="atLeast"/>
        <w:ind w:firstLine="0"/>
        <w:jc w:val="both"/>
        <w:textAlignment w:val="baseline"/>
        <w:outlineLvl w:val="2"/>
        <w:rPr>
          <w:rFonts w:ascii="Lato" w:eastAsia="Times New Roman" w:hAnsi="Lato" w:cs="Times New Roman"/>
          <w:color w:val="181818"/>
          <w:sz w:val="53"/>
          <w:szCs w:val="39"/>
          <w:lang w:eastAsia="pt-BR"/>
        </w:rPr>
      </w:pPr>
      <w:r w:rsidRPr="000D411F">
        <w:rPr>
          <w:rFonts w:ascii="Lato" w:eastAsia="Times New Roman" w:hAnsi="Lato" w:cs="Times New Roman"/>
          <w:color w:val="181818"/>
          <w:sz w:val="53"/>
          <w:szCs w:val="39"/>
          <w:lang w:eastAsia="pt-BR"/>
        </w:rPr>
        <w:t>Seção 7 – Gestão de ativos</w:t>
      </w:r>
    </w:p>
    <w:p w:rsidR="00EF0AFD" w:rsidRPr="000D411F" w:rsidRDefault="00EF0AFD" w:rsidP="00EF0AFD">
      <w:pPr>
        <w:shd w:val="clear" w:color="auto" w:fill="FFFFFF"/>
        <w:spacing w:after="300" w:line="240" w:lineRule="auto"/>
        <w:ind w:firstLine="0"/>
        <w:jc w:val="both"/>
        <w:textAlignment w:val="baseline"/>
        <w:rPr>
          <w:rFonts w:ascii="Lato" w:eastAsia="Times New Roman" w:hAnsi="Lato" w:cs="Times New Roman"/>
          <w:color w:val="7C7C7C"/>
          <w:sz w:val="38"/>
          <w:szCs w:val="24"/>
          <w:lang w:eastAsia="pt-BR"/>
        </w:rPr>
      </w:pPr>
      <w:r w:rsidRPr="000D411F">
        <w:rPr>
          <w:rFonts w:ascii="Lato" w:eastAsia="Times New Roman" w:hAnsi="Lato" w:cs="Times New Roman"/>
          <w:color w:val="7C7C7C"/>
          <w:sz w:val="38"/>
          <w:szCs w:val="24"/>
          <w:lang w:eastAsia="pt-BR"/>
        </w:rPr>
        <w:t>Ativo, segundo a norma, é qualquer coisa que tenha valor para a organização e que precisa ser protegido. Mas para isso, os ativos devem ser identificados e classificados, de tal forma que um inventário possa ser estruturado e posteriormente mantido. Além disso, eles devem seguir regras documentadas, que definem qual o tipo de uso é permitido fazer com esses ativos.</w:t>
      </w:r>
    </w:p>
    <w:p w:rsidR="00EF0AFD" w:rsidRPr="000D411F" w:rsidRDefault="00EF0AFD" w:rsidP="00EF0AFD">
      <w:pPr>
        <w:shd w:val="clear" w:color="auto" w:fill="FFFFFF"/>
        <w:spacing w:before="150" w:after="150" w:line="510" w:lineRule="atLeast"/>
        <w:ind w:firstLine="0"/>
        <w:jc w:val="both"/>
        <w:textAlignment w:val="baseline"/>
        <w:outlineLvl w:val="2"/>
        <w:rPr>
          <w:rFonts w:ascii="Lato" w:eastAsia="Times New Roman" w:hAnsi="Lato" w:cs="Times New Roman"/>
          <w:color w:val="181818"/>
          <w:sz w:val="53"/>
          <w:szCs w:val="39"/>
          <w:lang w:eastAsia="pt-BR"/>
        </w:rPr>
      </w:pPr>
      <w:r w:rsidRPr="000D411F">
        <w:rPr>
          <w:rFonts w:ascii="Lato" w:eastAsia="Times New Roman" w:hAnsi="Lato" w:cs="Times New Roman"/>
          <w:color w:val="181818"/>
          <w:sz w:val="53"/>
          <w:szCs w:val="39"/>
          <w:lang w:eastAsia="pt-BR"/>
        </w:rPr>
        <w:t xml:space="preserve">Seção 8 – </w:t>
      </w:r>
      <w:proofErr w:type="spellStart"/>
      <w:r w:rsidRPr="000D411F">
        <w:rPr>
          <w:rFonts w:ascii="Lato" w:eastAsia="Times New Roman" w:hAnsi="Lato" w:cs="Times New Roman"/>
          <w:color w:val="181818"/>
          <w:sz w:val="53"/>
          <w:szCs w:val="39"/>
          <w:lang w:eastAsia="pt-BR"/>
        </w:rPr>
        <w:t>Segurança</w:t>
      </w:r>
      <w:proofErr w:type="spellEnd"/>
      <w:r w:rsidRPr="000D411F">
        <w:rPr>
          <w:rFonts w:ascii="Lato" w:eastAsia="Times New Roman" w:hAnsi="Lato" w:cs="Times New Roman"/>
          <w:color w:val="181818"/>
          <w:sz w:val="53"/>
          <w:szCs w:val="39"/>
          <w:lang w:eastAsia="pt-BR"/>
        </w:rPr>
        <w:t xml:space="preserve"> em recursos humanos</w:t>
      </w:r>
    </w:p>
    <w:p w:rsidR="00EF0AFD" w:rsidRPr="000D411F" w:rsidRDefault="00EF0AFD" w:rsidP="00EF0AFD">
      <w:pPr>
        <w:shd w:val="clear" w:color="auto" w:fill="FFFFFF"/>
        <w:spacing w:after="300" w:line="240" w:lineRule="auto"/>
        <w:ind w:firstLine="0"/>
        <w:jc w:val="both"/>
        <w:textAlignment w:val="baseline"/>
        <w:rPr>
          <w:rFonts w:ascii="Lato" w:eastAsia="Times New Roman" w:hAnsi="Lato" w:cs="Times New Roman"/>
          <w:color w:val="7C7C7C"/>
          <w:sz w:val="38"/>
          <w:szCs w:val="24"/>
          <w:lang w:eastAsia="pt-BR"/>
        </w:rPr>
      </w:pPr>
      <w:r w:rsidRPr="000D411F">
        <w:rPr>
          <w:rFonts w:ascii="Lato" w:eastAsia="Times New Roman" w:hAnsi="Lato" w:cs="Times New Roman"/>
          <w:color w:val="7C7C7C"/>
          <w:sz w:val="38"/>
          <w:szCs w:val="24"/>
          <w:lang w:eastAsia="pt-BR"/>
        </w:rPr>
        <w:lastRenderedPageBreak/>
        <w:t>Antes de realizar a contratação de um funcionário – ou mesmo de fornecedores – é importante que ele seja devidamente analisado, principalmente se for lidar com informações de caráter sigiloso. A intenção desta seção é mitigar o risco de roubo, fraude ou mau uso dos recursos. E quando o funcionário estiver trabalhando na empresa, ele deverá estar ciente das ameaças relativas à segurança da informação, bem como de suas responsabilidades e obrigações.</w:t>
      </w:r>
    </w:p>
    <w:p w:rsidR="00EF0AFD" w:rsidRPr="000D411F" w:rsidRDefault="00EF0AFD" w:rsidP="00EF0AFD">
      <w:pPr>
        <w:shd w:val="clear" w:color="auto" w:fill="FFFFFF"/>
        <w:spacing w:before="150" w:after="150" w:line="510" w:lineRule="atLeast"/>
        <w:ind w:firstLine="0"/>
        <w:jc w:val="both"/>
        <w:textAlignment w:val="baseline"/>
        <w:outlineLvl w:val="2"/>
        <w:rPr>
          <w:rFonts w:ascii="Lato" w:eastAsia="Times New Roman" w:hAnsi="Lato" w:cs="Times New Roman"/>
          <w:color w:val="181818"/>
          <w:sz w:val="53"/>
          <w:szCs w:val="39"/>
          <w:lang w:eastAsia="pt-BR"/>
        </w:rPr>
      </w:pPr>
      <w:r w:rsidRPr="000D411F">
        <w:rPr>
          <w:rFonts w:ascii="Lato" w:eastAsia="Times New Roman" w:hAnsi="Lato" w:cs="Times New Roman"/>
          <w:color w:val="181818"/>
          <w:sz w:val="53"/>
          <w:szCs w:val="39"/>
          <w:lang w:eastAsia="pt-BR"/>
        </w:rPr>
        <w:t>Seção 9 – Segurança física e do ambiente</w:t>
      </w:r>
    </w:p>
    <w:p w:rsidR="00EF0AFD" w:rsidRPr="000D411F" w:rsidRDefault="00EF0AFD" w:rsidP="00EF0AFD">
      <w:pPr>
        <w:shd w:val="clear" w:color="auto" w:fill="FFFFFF"/>
        <w:spacing w:after="300" w:line="240" w:lineRule="auto"/>
        <w:ind w:firstLine="0"/>
        <w:jc w:val="both"/>
        <w:textAlignment w:val="baseline"/>
        <w:rPr>
          <w:rFonts w:ascii="Lato" w:eastAsia="Times New Roman" w:hAnsi="Lato" w:cs="Times New Roman"/>
          <w:color w:val="7C7C7C"/>
          <w:sz w:val="38"/>
          <w:szCs w:val="24"/>
          <w:lang w:eastAsia="pt-BR"/>
        </w:rPr>
      </w:pPr>
      <w:r w:rsidRPr="000D411F">
        <w:rPr>
          <w:rFonts w:ascii="Lato" w:eastAsia="Times New Roman" w:hAnsi="Lato" w:cs="Times New Roman"/>
          <w:color w:val="7C7C7C"/>
          <w:sz w:val="38"/>
          <w:szCs w:val="24"/>
          <w:lang w:eastAsia="pt-BR"/>
        </w:rPr>
        <w:t>Os equipamentos e instalações de processamento de informação críticas ou sensíveis devem ser mantidas em áreas seguras, com níveis e controles de acesso apropriados, incluindo proteção contra ameaças físicas e ambientais.</w:t>
      </w:r>
      <w:r w:rsidR="005A5507">
        <w:rPr>
          <w:rFonts w:ascii="Lato" w:eastAsia="Times New Roman" w:hAnsi="Lato" w:cs="Times New Roman"/>
          <w:color w:val="7C7C7C"/>
          <w:sz w:val="38"/>
          <w:szCs w:val="24"/>
          <w:lang w:eastAsia="pt-BR"/>
        </w:rPr>
        <w:t>0000</w:t>
      </w:r>
      <w:r w:rsidR="00D46A93">
        <w:rPr>
          <w:rFonts w:ascii="Lato" w:eastAsia="Times New Roman" w:hAnsi="Lato" w:cs="Times New Roman"/>
          <w:color w:val="7C7C7C"/>
          <w:sz w:val="38"/>
          <w:szCs w:val="24"/>
          <w:lang w:eastAsia="pt-BR"/>
        </w:rPr>
        <w:t>000000</w:t>
      </w:r>
    </w:p>
    <w:p w:rsidR="00EF0AFD" w:rsidRPr="000D411F" w:rsidRDefault="00EF0AFD" w:rsidP="00EF0AFD">
      <w:pPr>
        <w:shd w:val="clear" w:color="auto" w:fill="FFFFFF"/>
        <w:spacing w:before="150" w:after="150" w:line="510" w:lineRule="atLeast"/>
        <w:ind w:firstLine="0"/>
        <w:jc w:val="both"/>
        <w:textAlignment w:val="baseline"/>
        <w:outlineLvl w:val="2"/>
        <w:rPr>
          <w:rFonts w:ascii="Lato" w:eastAsia="Times New Roman" w:hAnsi="Lato" w:cs="Times New Roman"/>
          <w:color w:val="181818"/>
          <w:sz w:val="53"/>
          <w:szCs w:val="39"/>
          <w:lang w:eastAsia="pt-BR"/>
        </w:rPr>
      </w:pPr>
      <w:r w:rsidRPr="000D411F">
        <w:rPr>
          <w:rFonts w:ascii="Lato" w:eastAsia="Times New Roman" w:hAnsi="Lato" w:cs="Times New Roman"/>
          <w:color w:val="181818"/>
          <w:sz w:val="53"/>
          <w:szCs w:val="39"/>
          <w:lang w:eastAsia="pt-BR"/>
        </w:rPr>
        <w:t>Seção 10 – Segurança das operações e comunicações</w:t>
      </w:r>
    </w:p>
    <w:p w:rsidR="00EF0AFD" w:rsidRPr="000D411F" w:rsidRDefault="00EF0AFD" w:rsidP="00EF0AFD">
      <w:pPr>
        <w:shd w:val="clear" w:color="auto" w:fill="FFFFFF"/>
        <w:spacing w:after="300" w:line="240" w:lineRule="auto"/>
        <w:ind w:firstLine="0"/>
        <w:jc w:val="both"/>
        <w:textAlignment w:val="baseline"/>
        <w:rPr>
          <w:rFonts w:ascii="Lato" w:eastAsia="Times New Roman" w:hAnsi="Lato" w:cs="Times New Roman"/>
          <w:color w:val="7C7C7C"/>
          <w:sz w:val="38"/>
          <w:szCs w:val="24"/>
          <w:lang w:eastAsia="pt-BR"/>
        </w:rPr>
      </w:pPr>
      <w:r w:rsidRPr="000D411F">
        <w:rPr>
          <w:rFonts w:ascii="Lato" w:eastAsia="Times New Roman" w:hAnsi="Lato" w:cs="Times New Roman"/>
          <w:color w:val="7C7C7C"/>
          <w:sz w:val="38"/>
          <w:szCs w:val="24"/>
          <w:lang w:eastAsia="pt-BR"/>
        </w:rPr>
        <w:t>É importante que estejam definidos os procedimentos e responsabilidades pela gestão e operação de todos os recursos de processamento das informações. Isso inclui o gerenciamento de serviços terceirizados, o planejamento dos recursos dos sistemas para minimizar o risco de falhas, a criação de procedimentos para a geração de cópias de segurança e sua recuperação e a administração segura de redes de comunicações.</w:t>
      </w:r>
    </w:p>
    <w:p w:rsidR="00EF0AFD" w:rsidRPr="000D411F" w:rsidRDefault="00EF0AFD" w:rsidP="00EF0AFD">
      <w:pPr>
        <w:shd w:val="clear" w:color="auto" w:fill="FFFFFF"/>
        <w:spacing w:before="150" w:after="150" w:line="510" w:lineRule="atLeast"/>
        <w:ind w:firstLine="0"/>
        <w:jc w:val="both"/>
        <w:textAlignment w:val="baseline"/>
        <w:outlineLvl w:val="2"/>
        <w:rPr>
          <w:rFonts w:ascii="Lato" w:eastAsia="Times New Roman" w:hAnsi="Lato" w:cs="Times New Roman"/>
          <w:color w:val="181818"/>
          <w:sz w:val="53"/>
          <w:szCs w:val="39"/>
          <w:lang w:eastAsia="pt-BR"/>
        </w:rPr>
      </w:pPr>
      <w:r w:rsidRPr="000D411F">
        <w:rPr>
          <w:rFonts w:ascii="Lato" w:eastAsia="Times New Roman" w:hAnsi="Lato" w:cs="Times New Roman"/>
          <w:color w:val="181818"/>
          <w:sz w:val="53"/>
          <w:szCs w:val="39"/>
          <w:lang w:eastAsia="pt-BR"/>
        </w:rPr>
        <w:t>Seção 11 – Controle de acesso</w:t>
      </w:r>
    </w:p>
    <w:p w:rsidR="00EF0AFD" w:rsidRPr="000D411F" w:rsidRDefault="00EF0AFD" w:rsidP="00EF0AFD">
      <w:pPr>
        <w:shd w:val="clear" w:color="auto" w:fill="FFFFFF"/>
        <w:spacing w:after="300" w:line="240" w:lineRule="auto"/>
        <w:ind w:firstLine="0"/>
        <w:jc w:val="both"/>
        <w:textAlignment w:val="baseline"/>
        <w:rPr>
          <w:rFonts w:ascii="Lato" w:eastAsia="Times New Roman" w:hAnsi="Lato" w:cs="Times New Roman"/>
          <w:color w:val="7C7C7C"/>
          <w:sz w:val="38"/>
          <w:szCs w:val="24"/>
          <w:lang w:eastAsia="pt-BR"/>
        </w:rPr>
      </w:pPr>
      <w:r w:rsidRPr="000D411F">
        <w:rPr>
          <w:rFonts w:ascii="Lato" w:eastAsia="Times New Roman" w:hAnsi="Lato" w:cs="Times New Roman"/>
          <w:color w:val="7C7C7C"/>
          <w:sz w:val="38"/>
          <w:szCs w:val="24"/>
          <w:lang w:eastAsia="pt-BR"/>
        </w:rPr>
        <w:lastRenderedPageBreak/>
        <w:t>O acesso à informação, assim como aos recursos de processamento das informações e aos processos de negócios, deve ser controlado com base nos requisitos de negócio e na segurança da informação. Deve ser assegurado o acesso de usuário autorizado e prevenido o acesso não autorizado a sistemas de informação, a fim de evitar danos a documentos e recursos de processamento da informação que estejam ao alcance de qualquer um.</w:t>
      </w:r>
    </w:p>
    <w:p w:rsidR="00EF0AFD" w:rsidRPr="000D411F" w:rsidRDefault="00EF0AFD" w:rsidP="00EF0AFD">
      <w:pPr>
        <w:shd w:val="clear" w:color="auto" w:fill="FFFFFF"/>
        <w:spacing w:before="150" w:after="150" w:line="510" w:lineRule="atLeast"/>
        <w:ind w:firstLine="0"/>
        <w:jc w:val="both"/>
        <w:textAlignment w:val="baseline"/>
        <w:outlineLvl w:val="2"/>
        <w:rPr>
          <w:rFonts w:ascii="Lato" w:eastAsia="Times New Roman" w:hAnsi="Lato" w:cs="Times New Roman"/>
          <w:color w:val="181818"/>
          <w:sz w:val="53"/>
          <w:szCs w:val="39"/>
          <w:lang w:eastAsia="pt-BR"/>
        </w:rPr>
      </w:pPr>
      <w:r w:rsidRPr="000D411F">
        <w:rPr>
          <w:rFonts w:ascii="Lato" w:eastAsia="Times New Roman" w:hAnsi="Lato" w:cs="Times New Roman"/>
          <w:color w:val="181818"/>
          <w:sz w:val="53"/>
          <w:szCs w:val="39"/>
          <w:lang w:eastAsia="pt-BR"/>
        </w:rPr>
        <w:t>Seção 12 – Aquisição, desenvolvimento e manutenção de sistemas</w:t>
      </w:r>
    </w:p>
    <w:p w:rsidR="00EF0AFD" w:rsidRPr="000D411F" w:rsidRDefault="00EF0AFD" w:rsidP="00EF0AFD">
      <w:pPr>
        <w:shd w:val="clear" w:color="auto" w:fill="FFFFFF"/>
        <w:spacing w:after="300" w:line="240" w:lineRule="auto"/>
        <w:ind w:firstLine="0"/>
        <w:jc w:val="both"/>
        <w:textAlignment w:val="baseline"/>
        <w:rPr>
          <w:rFonts w:ascii="Lato" w:eastAsia="Times New Roman" w:hAnsi="Lato" w:cs="Times New Roman"/>
          <w:color w:val="7C7C7C"/>
          <w:sz w:val="38"/>
          <w:szCs w:val="24"/>
          <w:lang w:eastAsia="pt-BR"/>
        </w:rPr>
      </w:pPr>
      <w:r w:rsidRPr="000D411F">
        <w:rPr>
          <w:rFonts w:ascii="Lato" w:eastAsia="Times New Roman" w:hAnsi="Lato" w:cs="Times New Roman"/>
          <w:color w:val="7C7C7C"/>
          <w:sz w:val="38"/>
          <w:szCs w:val="24"/>
          <w:lang w:eastAsia="pt-BR"/>
        </w:rPr>
        <w:t xml:space="preserve">Os requisitos de segurança de sistemas de informação devem ser identificados e acordados antes do seu desenvolvimento e/ou de sua implementação, para que assim possam ser protegidos visando a manutenção de sua confidencialidade, </w:t>
      </w:r>
      <w:bookmarkStart w:id="0" w:name="_GoBack"/>
      <w:bookmarkEnd w:id="0"/>
      <w:r w:rsidRPr="000D411F">
        <w:rPr>
          <w:rFonts w:ascii="Lato" w:eastAsia="Times New Roman" w:hAnsi="Lato" w:cs="Times New Roman"/>
          <w:color w:val="7C7C7C"/>
          <w:sz w:val="38"/>
          <w:szCs w:val="24"/>
          <w:lang w:eastAsia="pt-BR"/>
        </w:rPr>
        <w:t>autenticidade ou integridade por meios criptográficos.</w:t>
      </w:r>
    </w:p>
    <w:p w:rsidR="00EF0AFD" w:rsidRPr="000D411F" w:rsidRDefault="00EF0AFD" w:rsidP="00EF0AFD">
      <w:pPr>
        <w:shd w:val="clear" w:color="auto" w:fill="FFFFFF"/>
        <w:spacing w:before="150" w:after="150" w:line="510" w:lineRule="atLeast"/>
        <w:ind w:firstLine="0"/>
        <w:jc w:val="both"/>
        <w:textAlignment w:val="baseline"/>
        <w:outlineLvl w:val="2"/>
        <w:rPr>
          <w:rFonts w:ascii="Lato" w:eastAsia="Times New Roman" w:hAnsi="Lato" w:cs="Times New Roman"/>
          <w:color w:val="181818"/>
          <w:sz w:val="53"/>
          <w:szCs w:val="39"/>
          <w:lang w:eastAsia="pt-BR"/>
        </w:rPr>
      </w:pPr>
      <w:r w:rsidRPr="000D411F">
        <w:rPr>
          <w:rFonts w:ascii="Lato" w:eastAsia="Times New Roman" w:hAnsi="Lato" w:cs="Times New Roman"/>
          <w:color w:val="181818"/>
          <w:sz w:val="53"/>
          <w:szCs w:val="39"/>
          <w:lang w:eastAsia="pt-BR"/>
        </w:rPr>
        <w:t>Seção 13 – Gestão de incidentes de segurança da informação</w:t>
      </w:r>
    </w:p>
    <w:p w:rsidR="00EF0AFD" w:rsidRPr="000D411F" w:rsidRDefault="00EF0AFD" w:rsidP="00EF0AFD">
      <w:pPr>
        <w:shd w:val="clear" w:color="auto" w:fill="FFFFFF"/>
        <w:spacing w:after="300" w:line="240" w:lineRule="auto"/>
        <w:ind w:firstLine="0"/>
        <w:jc w:val="both"/>
        <w:textAlignment w:val="baseline"/>
        <w:rPr>
          <w:rFonts w:ascii="Lato" w:eastAsia="Times New Roman" w:hAnsi="Lato" w:cs="Times New Roman"/>
          <w:color w:val="7C7C7C"/>
          <w:sz w:val="38"/>
          <w:szCs w:val="24"/>
          <w:lang w:eastAsia="pt-BR"/>
        </w:rPr>
      </w:pPr>
      <w:r w:rsidRPr="000D411F">
        <w:rPr>
          <w:rFonts w:ascii="Lato" w:eastAsia="Times New Roman" w:hAnsi="Lato" w:cs="Times New Roman"/>
          <w:color w:val="7C7C7C"/>
          <w:sz w:val="38"/>
          <w:szCs w:val="24"/>
          <w:lang w:eastAsia="pt-BR"/>
        </w:rPr>
        <w:t>Procedimentos formais de registro e escalonamento devem ser estabelecidos, e os funcionários, fornecedores e terceiros devem estar conscientes sobre os procedimentos para notificação dos eventos de segurança da informação, para assegurar que eles sejam comunicados o mais rápido possível e corrigidos em tempo hábil.</w:t>
      </w:r>
    </w:p>
    <w:p w:rsidR="00EF0AFD" w:rsidRPr="000D411F" w:rsidRDefault="00EF0AFD" w:rsidP="00EF0AFD">
      <w:pPr>
        <w:shd w:val="clear" w:color="auto" w:fill="FFFFFF"/>
        <w:spacing w:before="150" w:after="150" w:line="510" w:lineRule="atLeast"/>
        <w:ind w:firstLine="0"/>
        <w:jc w:val="both"/>
        <w:textAlignment w:val="baseline"/>
        <w:outlineLvl w:val="2"/>
        <w:rPr>
          <w:rFonts w:ascii="Lato" w:eastAsia="Times New Roman" w:hAnsi="Lato" w:cs="Times New Roman"/>
          <w:color w:val="181818"/>
          <w:sz w:val="53"/>
          <w:szCs w:val="39"/>
          <w:lang w:eastAsia="pt-BR"/>
        </w:rPr>
      </w:pPr>
      <w:r w:rsidRPr="000D411F">
        <w:rPr>
          <w:rFonts w:ascii="Lato" w:eastAsia="Times New Roman" w:hAnsi="Lato" w:cs="Times New Roman"/>
          <w:color w:val="181818"/>
          <w:sz w:val="53"/>
          <w:szCs w:val="39"/>
          <w:lang w:eastAsia="pt-BR"/>
        </w:rPr>
        <w:t>Seção 14 – Gestão da continuidade do negócio</w:t>
      </w:r>
    </w:p>
    <w:p w:rsidR="00EF0AFD" w:rsidRPr="000D411F" w:rsidRDefault="00EF0AFD" w:rsidP="00EF0AFD">
      <w:pPr>
        <w:shd w:val="clear" w:color="auto" w:fill="FFFFFF"/>
        <w:spacing w:after="300" w:line="240" w:lineRule="auto"/>
        <w:ind w:firstLine="0"/>
        <w:jc w:val="both"/>
        <w:textAlignment w:val="baseline"/>
        <w:rPr>
          <w:rFonts w:ascii="Lato" w:eastAsia="Times New Roman" w:hAnsi="Lato" w:cs="Times New Roman"/>
          <w:color w:val="7C7C7C"/>
          <w:sz w:val="38"/>
          <w:szCs w:val="24"/>
          <w:lang w:eastAsia="pt-BR"/>
        </w:rPr>
      </w:pPr>
      <w:r w:rsidRPr="000D411F">
        <w:rPr>
          <w:rFonts w:ascii="Lato" w:eastAsia="Times New Roman" w:hAnsi="Lato" w:cs="Times New Roman"/>
          <w:color w:val="7C7C7C"/>
          <w:sz w:val="38"/>
          <w:szCs w:val="24"/>
          <w:lang w:eastAsia="pt-BR"/>
        </w:rPr>
        <w:lastRenderedPageBreak/>
        <w:t>Planos de continuidade do negócio devem ser desenvolvidos e implementados, visando impedir a interrupção das atividades do negócio e assegurar que as operações essenciais sejam rapidamente recuperadas.</w:t>
      </w:r>
    </w:p>
    <w:p w:rsidR="00EF0AFD" w:rsidRPr="000D411F" w:rsidRDefault="00EF0AFD" w:rsidP="00EF0AFD">
      <w:pPr>
        <w:shd w:val="clear" w:color="auto" w:fill="FFFFFF"/>
        <w:spacing w:before="150" w:after="150" w:line="510" w:lineRule="atLeast"/>
        <w:ind w:firstLine="0"/>
        <w:jc w:val="both"/>
        <w:textAlignment w:val="baseline"/>
        <w:outlineLvl w:val="2"/>
        <w:rPr>
          <w:rFonts w:ascii="Lato" w:eastAsia="Times New Roman" w:hAnsi="Lato" w:cs="Times New Roman"/>
          <w:color w:val="181818"/>
          <w:sz w:val="53"/>
          <w:szCs w:val="39"/>
          <w:lang w:eastAsia="pt-BR"/>
        </w:rPr>
      </w:pPr>
      <w:r w:rsidRPr="000D411F">
        <w:rPr>
          <w:rFonts w:ascii="Lato" w:eastAsia="Times New Roman" w:hAnsi="Lato" w:cs="Times New Roman"/>
          <w:color w:val="181818"/>
          <w:sz w:val="53"/>
          <w:szCs w:val="39"/>
          <w:lang w:eastAsia="pt-BR"/>
        </w:rPr>
        <w:t>Seção 15 – Conformidade</w:t>
      </w:r>
    </w:p>
    <w:p w:rsidR="00EF0AFD" w:rsidRPr="000D411F" w:rsidRDefault="00EF0AFD" w:rsidP="00EF0AFD">
      <w:pPr>
        <w:shd w:val="clear" w:color="auto" w:fill="FFFFFF"/>
        <w:spacing w:after="300" w:line="240" w:lineRule="auto"/>
        <w:ind w:firstLine="0"/>
        <w:jc w:val="both"/>
        <w:textAlignment w:val="baseline"/>
        <w:rPr>
          <w:rFonts w:ascii="Lato" w:eastAsia="Times New Roman" w:hAnsi="Lato" w:cs="Times New Roman"/>
          <w:color w:val="7C7C7C"/>
          <w:sz w:val="38"/>
          <w:szCs w:val="24"/>
          <w:lang w:eastAsia="pt-BR"/>
        </w:rPr>
      </w:pPr>
      <w:r w:rsidRPr="000D411F">
        <w:rPr>
          <w:rFonts w:ascii="Lato" w:eastAsia="Times New Roman" w:hAnsi="Lato" w:cs="Times New Roman"/>
          <w:color w:val="7C7C7C"/>
          <w:sz w:val="38"/>
          <w:szCs w:val="24"/>
          <w:lang w:eastAsia="pt-BR"/>
        </w:rPr>
        <w:t>É importante evitar a violação de qualquer lei criminal ou civil, garantindo estatutos, regulamentações ou obrigações contratuais e de quaisquer requisitos de segurança da informação. Caso necessário, a empresa pode contratar uma consultoria especializada, para que verifique sua conformidade e aderência a requisitos legais e regulamentares.</w:t>
      </w:r>
    </w:p>
    <w:p w:rsidR="00196942" w:rsidRPr="000D411F" w:rsidRDefault="00D46A93" w:rsidP="00EF0AFD">
      <w:pPr>
        <w:ind w:firstLine="0"/>
        <w:jc w:val="both"/>
        <w:rPr>
          <w:sz w:val="52"/>
        </w:rPr>
      </w:pPr>
    </w:p>
    <w:sectPr w:rsidR="00196942" w:rsidRPr="000D411F" w:rsidSect="00EF0AFD">
      <w:pgSz w:w="16838" w:h="11906" w:orient="landscape" w:code="9"/>
      <w:pgMar w:top="567" w:right="568" w:bottom="566" w:left="42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doNotDisplayPageBoundarie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AFD"/>
    <w:rsid w:val="0005575B"/>
    <w:rsid w:val="000D411F"/>
    <w:rsid w:val="00174044"/>
    <w:rsid w:val="001D1918"/>
    <w:rsid w:val="00413A81"/>
    <w:rsid w:val="005A5507"/>
    <w:rsid w:val="005E2C04"/>
    <w:rsid w:val="00722BA9"/>
    <w:rsid w:val="007824B5"/>
    <w:rsid w:val="007A03C3"/>
    <w:rsid w:val="00A10918"/>
    <w:rsid w:val="00A127D7"/>
    <w:rsid w:val="00AC766F"/>
    <w:rsid w:val="00D46A93"/>
    <w:rsid w:val="00D97799"/>
    <w:rsid w:val="00DB2709"/>
    <w:rsid w:val="00EF0AFD"/>
    <w:rsid w:val="00F45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6F6C1"/>
  <w15:chartTrackingRefBased/>
  <w15:docId w15:val="{442A3EE2-9699-4CCE-83C3-31DB35D15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ABNT"/>
    <w:qFormat/>
    <w:rsid w:val="007A03C3"/>
    <w:pPr>
      <w:spacing w:after="0"/>
      <w:ind w:firstLine="851"/>
    </w:pPr>
  </w:style>
  <w:style w:type="paragraph" w:styleId="Ttulo3">
    <w:name w:val="heading 3"/>
    <w:basedOn w:val="Normal"/>
    <w:link w:val="Ttulo3Char"/>
    <w:uiPriority w:val="9"/>
    <w:qFormat/>
    <w:rsid w:val="00EF0AFD"/>
    <w:pPr>
      <w:spacing w:before="100" w:beforeAutospacing="1" w:after="100" w:afterAutospacing="1" w:line="240" w:lineRule="auto"/>
      <w:ind w:firstLine="0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EF0AF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EF0AFD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1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1068</TotalTime>
  <Pages>1</Pages>
  <Words>647</Words>
  <Characters>3494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Ferreira</dc:creator>
  <cp:keywords/>
  <dc:description/>
  <cp:lastModifiedBy>Rodrigo Ferreira</cp:lastModifiedBy>
  <cp:revision>4</cp:revision>
  <dcterms:created xsi:type="dcterms:W3CDTF">2017-09-27T22:42:00Z</dcterms:created>
  <dcterms:modified xsi:type="dcterms:W3CDTF">2017-10-04T22:42:00Z</dcterms:modified>
</cp:coreProperties>
</file>