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Суворова Романа Михайловича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                                       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Жуков Николай Николаевич, </w:t>
      </w:r>
      <w:r w:rsidDel="00000000" w:rsidR="00000000" w:rsidRPr="00000000">
        <w:rPr>
          <w:rFonts w:ascii="Arial" w:cs="Arial" w:eastAsia="Arial" w:hAnsi="Arial"/>
          <w:color w:val="122a2a"/>
          <w:sz w:val="21"/>
          <w:szCs w:val="21"/>
          <w:highlight w:val="white"/>
          <w:u w:val="single"/>
          <w:rtl w:val="0"/>
        </w:rPr>
        <w:t xml:space="preserve">кандидат физ.-мат. наук,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______________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