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동업 해지 합의서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0"/>
        </w:rPr>
        <w:t>아래 당사자는 공동으로 운영하던 사업의 동업관계를 해지하며 다음과 같이 합의한다.</w:t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사업체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사업체명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한빛물산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 개시일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2023-04-01</w:t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사업장 소재지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동업자 및 지분 현황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816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성명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지분율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정산 금액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지급 기한</w:t>
            </w:r>
          </w:p>
        </w:tc>
      </w:tr>
      <w:tr>
        <w:trPr>
          <w:trHeight w:val="816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1985-03-11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60%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잔존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-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-</w:t>
            </w:r>
          </w:p>
        </w:tc>
      </w:tr>
      <w:tr>
        <w:trPr>
          <w:trHeight w:val="816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김서연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1988-07-22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40%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탈퇴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1,200만원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2026-11-30</w:t>
            </w:r>
          </w:p>
        </w:tc>
      </w:tr>
      <w:tr>
        <w:trPr>
          <w:trHeight w:val="816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제1조 (해지)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당사자들은      년      월      일자로 위 사업체에 관한 동업관계를 해지한다.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 xml:space="preserve">해지 사유:                                                                    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제2조 (지분 정산)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탈퇴자의 지분은 해지일 기준 순자산에 지분율을 곱한 금액으로 평가하여 위 표의 정산 금액과 지급 기한에 따라 지급한다.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정산 금액에 이견이 있는 경우 쌍방이 합의한 회계사의 평가에 따른다.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제3조 (사업체 명의와 자산·채무의 승계)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사업체의 명의, 거래처, 재고자산 및 설비는                    이(가) 승계한다.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해지일 이전에 발생한 채무는                    이(가) 부담하며, 탈퇴자에게 구상하지 않는다.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제4조 (경업금지)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탈퇴자는 해지일로부터      년간 동일·유사한 사업을 직접 또는 제3자를 통하여 영위하지 않는다.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제5조 (청산 확인)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당사자들은 위 정산으로 동업관계에 관한 모든 채권·채무가 종결되었음을 확인하며, 이후 서로 추가 청구를 하지 않는다.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제6조 (분쟁해결)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합의에 관한 분쟁은 상호 협의로 해결하되, 협의가 되지 않으면 사업장 소재지 관할법원을 제1심 관할법원으로 한다.</w:t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특약사항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상표·특허 등 지식재산의 귀속, 재고자산 분배, 거래처 인수인계 방법 등 추가로 합의한 내용을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51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재고자산은 2026년 10월 말까지 잔존 동업자가 인수하며, 거래처 인수인계는 해지일로부터 2주 내에 완료한다.</w:t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0"/>
        </w:rPr>
        <w:t>본 합의를 증명하기 위하여 동업자 수만큼 합의서를 작성하여 각자 1부씩 보관한다.</w:t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997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주소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서명 또는 인</w:t>
            </w:r>
          </w:p>
        </w:tc>
      </w:tr>
      <w:tr>
        <w:trPr>
          <w:trHeight w:val="997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동업자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997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잔존 동업자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997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탈퇴 동업자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김서연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강남구 테헤란로 50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서식은 참고용이며 개별 사안에 대한 법적 효력과 적합성은 이용자가 확인해야 합니다. 정산 금액이 크거나 채무 관계가 복잡한 경우 반드시 전문가의 검토를 받으십시오.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