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4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상담일지</w:t>
      </w:r>
    </w:p>
    <w:p>
      <w:pPr>
        <w:spacing w:after="160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725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상담 일시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상담자(교사명)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725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대상자(학생명)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학년·반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725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상담 유형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면담 시간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분</w:t>
            </w:r>
          </w:p>
        </w:tc>
      </w:tr>
    </w:tbl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64" w:before="12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상담 내용</w:t>
      </w:r>
    </w:p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상담의 주요 내용, 학생이 제시한 고민이나 문제 상황, 상담 과정을 구체적으로 기재하십시오.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6"/>
      </w:tblGrid>
      <w:tr>
        <w:trPr>
          <w:trHeight w:val="3628" w:hRule="atLeast"/>
        </w:trPr>
        <w:tc>
          <w:tcPr>
            <w:tcW w:type="dxa" w:w="98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19"/>
              </w:rPr>
            </w:r>
          </w:p>
        </w:tc>
      </w:tr>
    </w:tbl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64" w:before="12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조치 사항 및 후속 계획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933"/>
        <w:gridCol w:w="4933"/>
      </w:tblGrid>
      <w:tr>
        <w:trPr>
          <w:trHeight w:val="816" w:hRule="atLeast"/>
        </w:trPr>
        <w:tc>
          <w:tcPr>
            <w:tcW w:type="dxa" w:w="493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조치 사항</w:t>
            </w:r>
          </w:p>
        </w:tc>
        <w:tc>
          <w:tcPr>
            <w:tcW w:type="dxa" w:w="493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816" w:hRule="atLeast"/>
        </w:trPr>
        <w:tc>
          <w:tcPr>
            <w:tcW w:type="dxa" w:w="493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후속 계획</w:t>
            </w:r>
          </w:p>
        </w:tc>
        <w:tc>
          <w:tcPr>
            <w:tcW w:type="dxa" w:w="493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256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20"/>
        </w:rPr>
      </w:r>
    </w:p>
    <w:p>
      <w:pPr>
        <w:spacing w:after="128" w:before="0" w:line="312" w:lineRule="auto"/>
        <w:jc w:val="center"/>
      </w:pPr>
      <w:r>
        <w:rPr>
          <w:rFonts w:ascii="Malgun Gothic" w:hAnsi="Malgun Gothic" w:eastAsia="Malgun Gothic" w:cs="Malgun Gothic"/>
          <w:b w:val="0"/>
          <w:sz w:val="22"/>
        </w:rPr>
        <w:t>상담자 (서명 또는 인)</w:t>
      </w:r>
    </w:p>
    <w:p>
      <w:pPr>
        <w:spacing w:after="0" w:before="96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상담 기록은 학교 운영위원회 규정에 따라 적절히 보관·관리하시고, 학생의 민감한 개인정보는 기재하지 않습니다.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