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부동산 매매계약서</w:t>
      </w:r>
    </w:p>
    <w:p>
      <w:pPr>
        <w:spacing w:after="14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12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매도인과 매수인은 아래 표시 부동산에 관하여 다음과 같이 매매계약을 체결한다.</w:t>
      </w:r>
    </w:p>
    <w:p>
      <w:pPr>
        <w:spacing w:after="56" w:before="11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부동산의 표시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636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소재지</w:t>
            </w:r>
          </w:p>
        </w:tc>
        <w:tc>
          <w:tcPr>
            <w:tcW w:type="dxa" w:w="8484"/>
            <w:gridSpan w:val="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6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토지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지목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면적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㎡</w:t>
            </w:r>
          </w:p>
        </w:tc>
      </w:tr>
      <w:tr>
        <w:trPr>
          <w:trHeight w:val="636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건물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구조·용도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면적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㎡</w:t>
            </w:r>
          </w:p>
        </w:tc>
      </w:tr>
      <w:tr>
        <w:trPr>
          <w:trHeight w:val="636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대지권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거래 대상 지분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전부 / 일부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6" w:before="11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매매대금 및 지급 일정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636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매매대금</w:t>
            </w:r>
          </w:p>
        </w:tc>
        <w:tc>
          <w:tcPr>
            <w:tcW w:type="dxa" w:w="8581"/>
            <w:gridSpan w:val="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금                                원정 (₩                    )</w:t>
            </w:r>
          </w:p>
        </w:tc>
      </w:tr>
      <w:tr>
        <w:trPr>
          <w:trHeight w:val="636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계약금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금                원정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지급일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계약 시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6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중도금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금                원정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지급일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20   년   월   일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6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잔금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금                원정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지급일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20   년   월   일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6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입금계좌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예금주</w:t>
            </w:r>
          </w:p>
        </w:tc>
        <w:tc>
          <w:tcPr>
            <w:tcW w:type="dxa" w:w="4833"/>
            <w:gridSpan w:val="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6" w:before="14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제1조 (소유권의 이전과 인도)</w:t>
      </w:r>
    </w:p>
    <w:p>
      <w:pPr>
        <w:spacing w:after="56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매도인은 잔금 수령과 동시에 소유권이전등기에 필요한 모든 서류를 매수인에게 교부하고 부동산을 인도한다.</w:t>
      </w:r>
    </w:p>
    <w:p>
      <w:pPr>
        <w:spacing w:after="56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소유권이전등기 신청은 잔금 지급일에 동시에 진행한다.</w:t>
      </w:r>
    </w:p>
    <w:p>
      <w:pPr>
        <w:spacing w:after="56" w:before="14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(제한물권 등의 말소)</w:t>
      </w:r>
    </w:p>
    <w:p>
      <w:pPr>
        <w:spacing w:after="56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매도인은 잔금 지급일까지 근저당권·가압류·전세권 등 소유권 행사를 제한하는 권리와 조세·공과금의 미납액을 모두 말소·정산한다.</w:t>
      </w:r>
    </w:p>
    <w:p>
      <w:pPr>
        <w:spacing w:after="56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다만 특약으로 승계하기로 정한 사항은 그에 따른다.</w:t>
      </w:r>
    </w:p>
    <w:p>
      <w:pPr>
        <w:spacing w:after="56" w:before="14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제3조 (계약의 해제)</w:t>
      </w:r>
    </w:p>
    <w:p>
      <w:pPr>
        <w:spacing w:after="56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매수인이 중도금(중도금이 없을 때는 잔금)을 지급하기 전까지 매도인은 계약금의 배액을 상환하고, 매수인은 계약금을 포기하여 계약을 해제할 수 있다.</w:t>
      </w:r>
    </w:p>
    <w:p>
      <w:pPr>
        <w:spacing w:after="56" w:before="14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제4조 (채무불이행과 손해배상)</w:t>
      </w:r>
    </w:p>
    <w:p>
      <w:pPr>
        <w:spacing w:after="56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당사자 일방이 채무를 이행하지 않는 경우 상대방은 상당한 기간을 정하여 이행을 촉구하고 계약을 해제할 수 있으며 손해배상을 청구할 수 있다.</w:t>
      </w:r>
    </w:p>
    <w:p>
      <w:pPr>
        <w:spacing w:after="56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손해배상에 관하여 별도 약정이 없으면 계약금을 손해배상의 기준으로 본다.</w:t>
      </w:r>
    </w:p>
    <w:p>
      <w:pPr>
        <w:spacing w:after="56" w:before="14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제5조 (위험부담)</w:t>
      </w:r>
    </w:p>
    <w:p>
      <w:pPr>
        <w:spacing w:after="56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부동산의 멸실·훼손에 대한 위험은 인도 시점부터 매수인이 부담한다.</w:t>
      </w:r>
    </w:p>
    <w:p>
      <w:pPr>
        <w:spacing w:after="56" w:before="14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제6조 (제세공과금의 부담)</w:t>
      </w:r>
    </w:p>
    <w:p>
      <w:pPr>
        <w:spacing w:after="56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부동산에 관한 조세·공과금은 인도일을 기준으로 그 전일까지는 매도인이, 인도일부터는 매수인이 부담한다.</w:t>
      </w:r>
    </w:p>
    <w:p>
      <w:pPr>
        <w:spacing w:after="56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취득세와 등기비용은 매수인이, 양도소득세는 매도인이 부담한다.</w:t>
      </w:r>
    </w:p>
    <w:p>
      <w:pPr>
        <w:spacing w:after="56" w:before="14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제7조 (임대차 등 승계)</w:t>
      </w:r>
    </w:p>
    <w:p>
      <w:pPr>
        <w:spacing w:after="56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부동산에 임대차가 있는 경우 그 내용과 승계 여부는 특약사항에 기재하며, 매도인은 임차인에게 소유권 변동을 통지한다.</w:t>
      </w:r>
    </w:p>
    <w:p>
      <w:pPr>
        <w:spacing w:after="56" w:before="14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제8조 (중개보수)</w:t>
      </w:r>
    </w:p>
    <w:p>
      <w:pPr>
        <w:spacing w:after="56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중개보수는 계약 체결과 동시에 매도인과 매수인이 각각 지급하며, 개업공인중개사는 중개대상물 확인·설명서와 업무보증관계증서 사본을 교부한다.</w:t>
      </w:r>
    </w:p>
    <w:p>
      <w:pPr>
        <w:spacing w:after="56" w:before="11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특약사항</w:t>
      </w:r>
    </w:p>
    <w:p>
      <w:pPr>
        <w:spacing w:after="56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승계할 임대차 내용, 잔금일 제출 서류 목록, 시설물·옵션의 포함 범위, 하자 처리 기준 등을 구체적으로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067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5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12" w:before="0" w:line="312" w:lineRule="auto"/>
        <w:jc w:val="both"/>
      </w:pPr>
      <w:r>
        <w:rPr>
          <w:rFonts w:ascii="Malgun Gothic" w:hAnsi="Malgun Gothic" w:eastAsia="Malgun Gothic" w:cs="Malgun Gothic"/>
          <w:b w:val="0"/>
          <w:sz w:val="18"/>
        </w:rPr>
        <w:t>본 계약을 증명하기 위하여 계약 당사자가 이의 없음을 확인하고 각각 서명·날인 후 매 장마다 간인하여 각 1부씩 보관한다.</w:t>
      </w:r>
    </w:p>
    <w:p>
      <w:pPr>
        <w:spacing w:after="112" w:before="112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56" w:before="11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계약 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636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매도인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(서명 또는 인)</w:t>
            </w:r>
          </w:p>
        </w:tc>
      </w:tr>
      <w:tr>
        <w:trPr>
          <w:trHeight w:val="636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6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매수인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(서명 또는 인)</w:t>
            </w:r>
          </w:p>
        </w:tc>
      </w:tr>
      <w:tr>
        <w:trPr>
          <w:trHeight w:val="636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6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개업공인중개사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사무소명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(서명 또는 인)</w:t>
            </w:r>
          </w:p>
        </w:tc>
      </w:tr>
      <w:tr>
        <w:trPr>
          <w:trHeight w:val="636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등록번호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84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계약 전 등기부등본으로 소유자와 근저당·가압류를 확인하고, 잔금일에 제한물권 말소와 소유권이전등기를 동시에 진행하십시오. 취득세·양도소득세는 세무 전문가에게 확인하십시오. 본 서식은 참고용입니다.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