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표준근로계약서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2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0"/>
        </w:rPr>
        <w:t>아래 당사자는 다음과 같이 근로계약을 체결하고 이를 성실히 이행할 것을 약정한다.</w:t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계약 당사자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사업체명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대표자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소재지</w:t>
            </w:r>
          </w:p>
        </w:tc>
        <w:tc>
          <w:tcPr>
            <w:tcW w:type="dxa" w:w="83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사업자등록번호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근로자 성명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근로자 주소</w:t>
            </w:r>
          </w:p>
        </w:tc>
        <w:tc>
          <w:tcPr>
            <w:tcW w:type="dxa" w:w="83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제1조 (근로계약기간)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근로개시일은 20    년    월    일로 하고, 근로계약기간은 기간의 정함을 두지 않는다.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수습기간은 근로개시일부터      개월로 하며, 수습기간 중 임금은 통상임금의      %로 한다. (수습기간을 두지 않는 경우 기재 생략)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제2조 (근무장소 및 업무내용)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근무장소 :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업무내용 :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사업주는 업무상 필요에 따라 근로자의 동의를 얻어 근무장소 또는 업무내용을 변경할 수 있다.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제3조 (소정근로시간 및 휴게시간)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소정근로시간은 1일      시간, 1주      시간으로 하며, 시작시각은      시      분, 종료시각은      시      분으로 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휴게시간은 근로시간 중      시      분부터      시      분까지로 한다.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연장·야간·휴일근로는 근로자의 동의를 받아 실시하며, 1주 12시간을 초과하지 않는다.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제4조 (근무일 및 주휴일)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근무일은 매주      일(      요일 ~      요일)로 하고, 주휴일은 매주      요일로 한다.</w:t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제5조 (임금)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기본급(월/일/시간)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상여금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연장근로수당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야간근로수당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휴일근로수당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기타 수당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임금 지급일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매월(매주)     일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지급방법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근로자 명의 예금계좌 입금</w:t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임금은 근로자에게 직접 지급하며, 근로자가 동의한 경우 본인 명의 예금계좌로 입금한다.</w:t>
      </w:r>
    </w:p>
    <w:p>
      <w:pPr>
        <w:spacing w:after="64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지급일이 휴일인 경우 그 전일에 지급한다.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제6조 (연차유급휴가)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연차유급휴가는 근로기준법이 정하는 바에 따라 부여한다.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제7조 (사회보험 적용)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고용보험, 산재보험, 국민연금, 건강보험에 모두 가입한다. (해당 없는 항목은 삭선 처리)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제8조 (근로계약서 교부)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사업주는 본 근로계약을 체결함과 동시에 본 계약서 1부를 근로자에게 교부한다.</w:t>
      </w:r>
    </w:p>
    <w:p>
      <w:pPr>
        <w:spacing w:after="64" w:before="160" w:line="312" w:lineRule="auto"/>
        <w:jc w:val="left"/>
      </w:pPr>
      <w:r>
        <w:rPr>
          <w:rFonts w:ascii="Malgun Gothic" w:hAnsi="Malgun Gothic" w:eastAsia="Malgun Gothic" w:cs="Malgun Gothic"/>
          <w:b/>
          <w:sz w:val="21"/>
        </w:rPr>
        <w:t>제9조 (기타)</w:t>
      </w:r>
    </w:p>
    <w:p>
      <w:pPr>
        <w:spacing w:after="64" w:before="0" w:line="312" w:lineRule="auto"/>
        <w:ind w:left="170"/>
        <w:jc w:val="both"/>
      </w:pPr>
      <w:r>
        <w:rPr>
          <w:rFonts w:ascii="Malgun Gothic" w:hAnsi="Malgun Gothic" w:eastAsia="Malgun Gothic" w:cs="Malgun Gothic"/>
          <w:b w:val="0"/>
          <w:sz w:val="20"/>
        </w:rPr>
        <w:t>본 계약에 정하지 않은 사항은 근로기준법 및 취업규칙에 따른다.</w:t>
      </w:r>
    </w:p>
    <w:p>
      <w:pPr>
        <w:spacing w:after="128" w:before="12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816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(서명 또는 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근로자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(서명 또는 인)</w:t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96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기간제·단시간 근로자는 계약기간과 근로일별 근로시간을 반드시 별도로 명시해야 하며, 연소근로자(18세 미만)는 친권자 동의서와 가족관계증명서가 필요합니다.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