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소     취     하   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사건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법원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서울중앙지방법원 제12민사부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2026가소123456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대여금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원고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피고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취하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취하 범위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✓ ) 소 전부 취하   (   ) 일부 취하 (범위:                    )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취하 사유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당사자 간 합의 성립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필요하면 취하하게 된 경위를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17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원고는 피고와 합의가 이루어져 위 사건의 소를 전부 취하합니다.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5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원고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법원 귀중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상대방 동의 필요 여부와 제출 방법은 담당 재판부·법원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