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임  원     사  임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회사 및 사임자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1985-04-12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사내이사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취임일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2023-03-28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사임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사임 효력일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2026-11-30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임기 만료일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2027-03-27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사임 사유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일신상의 사유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필요하면 사임 경위나 인수인계 계획을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35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맡고 있던 업무는 효력일 전까지 후임자에게 인수인계하겠습니다.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사임하고자 하오니 수리하여 주시기 바랍니다.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20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사임자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주식회사 귀중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효력 발생 시점과 변경 등기 절차는 회사 정관과 관할 등기소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