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채권·채무 잔액확인서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요청자(당사)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상대처(귀사)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담당자/연락처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 / 02-1234-5678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담당자/연락처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 / 02-2345-6789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기준일자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잔액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계정과목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당사 장부금액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귀사 장부금액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차이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사유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외상매출금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15,000,000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15,000,000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외상매입금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8,000,000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8,500,000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세금계산서 미반영분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선수금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2,000,000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2,000,000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양사의 채권·채무 잔액을 기준일자로 대조하여 확인합니다. 차이가 있는 항목은 사유를 확인한 후 재대사합니다.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당사(직인)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대표이사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귀사(직인)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(주)새길데이터 대표이사 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금액 차이가 확인된 경우 양측이 사유를 재검토한 후 정정하여 다시 확인하여 주시기 바랍니다.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