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  용  증  명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임대차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종료일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명도일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통지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임대차 경위와 명도 후 보증금을 반환받지 못한 사실을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요구 사항 및 이행 기한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요구하는 사항과 구체적인 이행 기한을 명시하십시오.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기한까지 보증금이 반환되지 않을 경우 부득이 법적 절차를 진행할 수 있음을 알려드립니다.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발신인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우체국 창구에서 발신인용·수신인용·우체국 보관용 3부를 작성하여 제출합니다. 보증금 반환과 관련한 구체적인 법적 절차는 변호사 등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