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민사조정 신청서</w:t>
      </w:r>
    </w:p>
    <w:p>
      <w:pPr>
        <w:spacing w:after="7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3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3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피신청인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3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서대문구 충정로 30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3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대여금 반환 등 청구에 관한 조정신청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 취지</w:t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조정으로 구하고자 하는 내용을 간략히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8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피신청인은 신청인에게 금 10,000,000원을 지급한다는 조정을 구합니다.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분쟁의 내용</w:t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분쟁의 경위와 현재까지의 경과를 시간순으로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신청인은 2025년 6월 10일 피신청인에게 금 10,000,000원을 대여하였고 변제기일은 2026년 6월 10일로 정하였습니다. 변제기일이 지났으나 피신청인은 대여금을 변제하지 않고 있습니다.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조정을 구하는 이유</w:t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소송이 아닌 조정 절차를 택한 이유를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8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소송보다 신속하고 비용이 적게 드는 절차를 통해 당사자 간 원만한 해결을 도모하고자 조정을 신청합니다.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서류</w:t>
      </w:r>
    </w:p>
    <w:p>
      <w:pPr>
        <w:spacing w:after="3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금전차용증서 사본 1부</w:t>
      </w:r>
    </w:p>
    <w:p>
      <w:pPr>
        <w:spacing w:after="3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계좌이체 내역서 사본 1부</w:t>
      </w:r>
    </w:p>
    <w:p>
      <w:pPr>
        <w:spacing w:after="62" w:before="6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6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1F5C8C"/>
          <w:sz w:val="24"/>
        </w:rPr>
        <w:t>서울서부지방법원  귀중</w:t>
      </w:r>
    </w:p>
    <w:p>
      <w:pPr>
        <w:spacing w:after="0" w:before="4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민사조정은 인지대와 송달료가 소송에 비해 저렴한 경우가 일반적이나, 구체적인 금액과 절차는 관할 법원에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