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위임 해지 통지서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수임인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 위임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2025-09-01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임대차 계약 체결 및 관리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사무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소재 오피스텔 임대차 계약 체결·관리 업무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200,000원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해지 의사 및 사유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경위를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위임인은 개인적인 사정으로 수임인과의 위임 관계를 더 이상 유지하기 어렵다고 판단하여 본 위임계약을 해지합니다. 이는 수임인의 업무 처리와 무관한 위임인의 사정에 따른 것입니다.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해지 효력 발생일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효력 발생일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인계 요구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기한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서류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임대차 계약서 원본 및 관련 서류 일체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인장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업무용 인장 및 관련 증빙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잔여 금원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보관 중인 보증금 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위임 해지의 효력 발생 시점과 범위에 관한 구체적 판단은 계약 내용에 따라 다르므로 필요시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