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위임 해지 통지서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수임인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원 위임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사무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보수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해지 의사 및 사유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경위를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해지 효력 발생일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효력 발생일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인계 요구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인계 기한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위임인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위임 해지의 효력 발생 시점과 범위에 관한 구체적 판단은 계약 내용에 따라 다르므로 필요시 법률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