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전세보증금 반환 내용증명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발신인·수신인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발신인(임차인)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수신인(임대인)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임대차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종료일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명도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임대차 종료 사실과 보증금 반환을 요청하는 취지를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반환 요구 및 기한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보증금 반환 계좌와 반환 기한을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불이행 시 조치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 기한까지 반환이 이루어지지 않을 경우, 임차권등기명령 신청, 지급명령 신청 등 관련 법적 절차를 진행할 수 있음을 알려드립니다.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통지합니다.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발신인 보관용·수신인 수령용·우체국 보관용 3부를 작성하여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