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대리점 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공급자와 대리점은 아래와 같이 대리점 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 상호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마포구 월드컵북로 100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대리점 상호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부산시 해운대구 센텀중앙로 50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공급자가 대리점에게 아래 상품의 판매를 위탁하고, 대리점이 이를 판매하는 데 관한 권리와 의무를 정함을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(대리점 지정과 판매지역)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대리점을 아래 판매지역 내 독점 대리점으로 지정한다: 판매지역 — 부산광역시 및 경상남도.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지정된 지역 외에서는 적극적인 판매 활동을 하지 않는다.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(공급가격과 결제)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공급가격은 공급자가 정한 공급가표에 따르며, 대리점은 매월 마감 후 익월 10일까지 현금으로 결제한다.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공급가격 변경 시 공급자는 적용 30일 전에 대리점에게 서면으로 통지한다.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(최소 판매수량)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매 반기 최소 1,000개 이상을 판매하여야 하며, 2회 연속 미달 시 공급자는 제10조에 따라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(판매촉진과 광고)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공급자가 승인한 범위에서 판매촉진 활동을 할 수 있으며, 비용은 대리점이 부담한다.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판매 실적에 따라 광고비를 일부 지원할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(상표 사용)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계약기간 중 공급자의 상표를 판매 목적에 한해 사용할 수 있으며, 계약 종료 시 즉시 사용을 중단한다.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(재고와 반품)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적정 재고를 유지하며, 공급자의 귀책사유로 인한 불량품은 전액 반품·교환한다.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단순 재고 과다로 인한 반품은 공급자와 사전 협의한 경우에만 가능하다.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계약 이행 과정에서 알게 된 상대방의 영업비밀을 제3자에게 누설하지 않으며, 이 의무는 계약 종료 후에도 2년간 유지된다.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(계약기간과 갱신)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기간은 체결일로부터 1년으로 하며, 만료 30일 전까지 별도의 서면 통지가 없으면 동일한 조건으로 1년씩 자동 갱신된다.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위반하고 상대방의 시정 요구를 받은 날부터 14일 내에 이를 시정하지 않으면 상대방은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최소 판매수량 미달, 결제 지연이 2회 이상 발생한 경우 공급자는 즉시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(손해배상)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당사자가 본 계약을 위반하여 상대방에게 손해를 끼친 경우 그 손해를 배상한다.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제12조 (관할법원)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공급자의 주소지 관할법원을 제1심 관할법원으로 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독점 공급 여부, 재고 인수 조건 등 추가로 합의한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계약 종료 시 대리점 보유 재고는 공급자가 출고가의 80%로 재매입한다.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2부를 작성하여 당사자가 서명·날인 후 각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중요한 거래는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