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주택임대차계약서</w:t>
      </w:r>
    </w:p>
    <w:p>
      <w:pPr>
        <w:spacing w:after="10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0"/>
        </w:rPr>
        <w:t>임대인과 임차인은 아래 표시 부동산에 관하여 다음과 같이 임대차계약을 체결한다.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부동산의 표시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소재지</w:t>
            </w:r>
          </w:p>
        </w:tc>
        <w:tc>
          <w:tcPr>
            <w:tcW w:type="dxa" w:w="8484"/>
            <w:gridSpan w:val="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토지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지목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건물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구조·용도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면적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임차할 부분</w:t>
            </w:r>
          </w:p>
        </w:tc>
        <w:tc>
          <w:tcPr>
            <w:tcW w:type="dxa" w:w="5919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면적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㎡</w:t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계약내용 — 제1조 (보증금과 차임)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보증금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                원정 (₩                    )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계약금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계약 시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중도금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잔금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20   년   월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차임(월세)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</w:t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지급일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매월        일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선불 / 후불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관리비</w:t>
            </w:r>
          </w:p>
        </w:tc>
        <w:tc>
          <w:tcPr>
            <w:tcW w:type="dxa" w:w="8581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금                원정 (정액 / 실비 정산) · 포함내역 :</w:t>
            </w:r>
          </w:p>
        </w:tc>
      </w:tr>
      <w:tr>
        <w:trPr>
          <w:trHeight w:val="453" w:hRule="atLeast"/>
        </w:trPr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입금계좌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28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예금주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제2조 (임대차기간)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임차주택을 임대차 목적대로 사용할 수 있는 상태로 20   년   월   일까지 임차인에게 인도하고, 임대차기간은 인도일로부터 20   년   월   일까지로 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제3조 (입주 전 수리)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입주 전 다음 사항을 수리하기로 한다. (수리할 내용 :                                        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수리 완료 시기는 잔금지급기일인 20   년   월   일까지로 하며, 이행하지 않을 경우 임차인은 수리비를 차임 또는 보증금에서 공제할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제4조 (임차주택의 사용·관리·수선)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임대인의 동의 없이 임차주택의 구조를 변경하거나 전대·양도할 수 없으며, 임대차 목적 외의 용도로 사용할 수 없다.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계약 존속 중 임차주택을 사용·수익에 필요한 상태로 유지할 의무를 부담하고, 시설물의 노후화나 통상적인 마모에 대한 수선은 임대인이 부담한다.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임차인의 고의·과실로 인한 파손과 전구 등 소모품 교체 비용은 임차인이 부담한다.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제5조 (계약의 해제)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임차인이 임대인에게 중도금(중도금이 없을 때는 잔금)을 지급하기 전까지, 임대인은 계약금의 배액을 상환하고 임차인은 계약금을 포기하여 이 계약을 해제할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제6조 (채무불이행과 손해배상)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당사자 일방이 채무를 이행하지 않는 경우 상대방은 상당한 기간을 정하여 이행을 촉구하고 계약을 해제할 수 있으며, 그로 인한 손해배상을 청구할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제7조 (계약의 해지)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본인의 과실 없이 임차주택의 일부가 멸실되어 임대차 목적대로 사용할 수 없게 된 경우 계약을 해지할 수 있다.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임대인은 임차인이 차임을 2기분 이상 연체하거나 제4조를 위반한 경우 계약을 해지할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제8조 (계약갱신요구권)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임차인은 임대차기간이 끝나기 6개월 전부터 2개월 전까지 계약갱신을 요구할 수 있고, 임대인은 주택임대차보호법이 정한 정당한 사유가 없으면 이를 거절할 수 없다.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제9조 (계약의 종료)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임대차계약이 종료된 경우 임차인은 임차주택을 원상회복하여 임대인에게 반환하고, 임대인은 보증금을 임차인에게 반환한다. 다만 연체된 차임·관리비와 손해배상액이 있으면 이를 공제할 수 있다.</w:t>
      </w:r>
    </w:p>
    <w:p>
      <w:pPr>
        <w:spacing w:after="40" w:before="100" w:line="312" w:lineRule="auto"/>
        <w:jc w:val="left"/>
      </w:pPr>
      <w:r>
        <w:rPr>
          <w:rFonts w:ascii="Malgun Gothic" w:hAnsi="Malgun Gothic" w:eastAsia="Malgun Gothic" w:cs="Malgun Gothic"/>
          <w:b/>
          <w:sz w:val="21"/>
        </w:rPr>
        <w:t>제10조 (중개보수 등)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중개보수는 계약 체결과 동시에 임대인과 임차인이 각각 지급하며, 개업공인중개사의 고의·과실 없이 계약이 무효·취소·해제되어도 중개보수는 지급한다.</w:t>
      </w:r>
    </w:p>
    <w:p>
      <w:pPr>
        <w:spacing w:after="40" w:before="0" w:line="312" w:lineRule="auto"/>
        <w:ind w:left="170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개업공인중개사는 중개대상물 확인·설명서를 작성하고 업무보증관계증서 사본을 첨부하여 계약 당사자 쌍방에게 교부한다.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특약사항</w:t>
      </w:r>
    </w:p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수리 책임 범위, 반려동물 허용 여부, 원상복구 기준, 주택 상태 등 합의한 내용을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474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80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18"/>
        </w:rPr>
        <w:t>본 계약을 증명하기 위하여 계약 당사자가 이의 없음을 확인하고 각각 서명·날인 후 임대인, 임차인, 개업공인중개사는 매 장마다 간인하여 각각 1부씩 보관한다.</w:t>
      </w:r>
    </w:p>
    <w:p>
      <w:pPr>
        <w:spacing w:after="80" w:before="8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20        년        월        일</w:t>
      </w:r>
    </w:p>
    <w:p>
      <w:pPr>
        <w:spacing w:after="40" w:before="80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계약 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임대인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임차인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주소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성명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개업공인중개사</w:t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사무소명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(서명 또는 인)</w:t>
            </w:r>
          </w:p>
        </w:tc>
      </w:tr>
      <w:tr>
        <w:trPr>
          <w:trHeight w:val="453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등록번호</w:t>
            </w:r>
          </w:p>
        </w:tc>
        <w:tc>
          <w:tcPr>
            <w:tcW w:type="dxa" w:w="236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18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연락처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40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0" w:before="6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계약 전 등기부등본으로 소유자와 근저당·가압류 설정 여부를 확인하고, 잔금일에 전입신고와 확정일자를 받아 대항력과 우선변제권을 확보하십시오. 확정일자는 주민센터·등기소 또는 인터넷등기소에서 받을 수 있습니다.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