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마  케  팅     기  획  서</w:t>
      </w:r>
    </w:p>
    <w:p>
      <w:pPr>
        <w:spacing w:after="6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29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캠페인명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가을 신제품 런칭 캠페인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10/1~10/31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29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기존 거래처 및 신규 유입 고객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예산</w:t>
            </w:r>
          </w:p>
        </w:tc>
        <w:tc>
          <w:tcPr>
            <w:tcW w:type="dxa" w:w="4537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1,500만원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시장·고객 분석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시장 동향과 타깃 고객의 특성·니즈를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4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사무용품 시장은 온라인 구매 비중이 확대되는 추세. 주요 고객은 중소기업 구매담당자로, 가격과 납기 안정성을 중시함.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현재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측정방법</w:t>
            </w:r>
          </w:p>
        </w:tc>
      </w:tr>
      <w:tr>
        <w:trPr>
          <w:trHeight w:val="29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리드 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30건/월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50건/월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랜딩페이지 폼 집계</w:t>
            </w:r>
          </w:p>
        </w:tc>
      </w:tr>
      <w:tr>
        <w:trPr>
          <w:trHeight w:val="29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전환율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4%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6%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CRM 전환 데이터 분석</w:t>
            </w:r>
          </w:p>
        </w:tc>
      </w:tr>
      <w:tr>
        <w:trPr>
          <w:trHeight w:val="29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실행 전략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콘텐츠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일정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예산</w:t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신제품 소개 뉴스레터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10/1~10/5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50만원</w:t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SNS 광고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타깃 광고 배너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10/1~10/31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400만원</w:t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예산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299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산출근거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</w:tr>
      <w:tr>
        <w:trPr>
          <w:trHeight w:val="299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SNS 광고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CPC 500원 × 8,000클릭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400만원</w:t>
            </w:r>
          </w:p>
        </w:tc>
      </w:tr>
      <w:tr>
        <w:trPr>
          <w:trHeight w:val="299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 발송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발송대행 + 디자인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50만원</w:t>
            </w:r>
          </w:p>
        </w:tc>
      </w:tr>
      <w:tr>
        <w:trPr>
          <w:trHeight w:val="299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인쇄물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전시회 배포용 리플릿 1,000부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150만원</w:t>
            </w:r>
          </w:p>
        </w:tc>
      </w:tr>
      <w:tr>
        <w:trPr>
          <w:trHeight w:val="299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합계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600만원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기대효과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매출·인지도 측면의 기대효과를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59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신규 리드 월 50건 확보로 4분기 매출 약 8% 증가 기대, 브랜드 인지도 제고에도 기여할 것으로 예상.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5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검토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승인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