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주차위반 과태료 이의신청서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과태료 금액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사유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과태료 부과가 부당하다고 보는 사유를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증빙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매수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1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제출처(관할 지자체)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이의를 신청합니다.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 처리 결과는 관할 지자체의 판단에 따릅니다. 이의신청 기간(통상 고지를 받은 날부터 60일 이내)을 확인하여 기한 내에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