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인  사  발  령  통  지  서</w:t>
      </w:r>
    </w:p>
    <w:p>
      <w:pPr>
        <w:spacing w:after="14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발령 대상자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4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직급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발령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사유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급여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급여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발령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42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일자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 시작일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42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보직명(있는 경우)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발령 권자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3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1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인사발령하기로 결정하고 아래와 같이 통지합니다.</w:t>
      </w:r>
    </w:p>
    <w:p>
      <w:pPr>
        <w:spacing w:after="116" w:before="116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1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4"/>
        </w:rPr>
        <w:t>대표이사</w:t>
      </w:r>
    </w:p>
    <w:p>
      <w:pPr>
        <w:spacing w:after="11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대표이사 :                                        (서명 또는 인)</w:t>
      </w:r>
    </w:p>
    <w:p>
      <w:pPr>
        <w:spacing w:after="17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8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발령은 법정 취업규칙의 규정에 따라 발령되었으며, 발령일자부터 효력이 발생합니다.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