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반려동물 분양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반려동물 분양에 관하여 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분양자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입양자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생년월일(추정)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모색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체중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개체등록번호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건강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예방접종 이력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중성화 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최근 검진일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분양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분양비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(건강 상태의 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분양자는 계약 체결 시점까지 확인된 반려동물의 건강 상태와 예방접종·병력을 입양자에게 사실대로 고지한다.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(인수 후 관리 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입양자는 인수 후 반려동물이 건강하게 생활할 수 있도록 적절한 사육환경, 먹이, 예방접종과 치료를 제공한다.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(파양 시 통보 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입양자가 부득이하게 반려동물을 더 이상 기를 수 없게 된 경우, 사전에 분양자에게 통보하고 이후 처리를 협의한다.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(유기 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입양자는 어떠한 경우에도 반려동물을 유기하지 않으며, 동물보호법 등 관계 법령을 준수한다.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(동물등록 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입양자는 동물보호법에 따라 반려동물의 소유자 변경 등록을 관할 시·군·구에 신고한다.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(분쟁 해결)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관련하여 분쟁이 발생하는 경우 당사자는 우선 협의로 해결하며, 협의가 이루어지지 않는 경우 관계 법령에 따른다.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반려동물의 소유자가 변경되면 동물보호법에 따라 관할 시·군·구에 동물등록 변경신고를 하여야 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분양자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입양자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