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2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채무 변제계획서</w:t>
      </w:r>
    </w:p>
    <w:p>
      <w:pPr>
        <w:spacing w:after="106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2" w:before="85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당사자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81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채무자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홍길동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생년월일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1990-03-15</w:t>
            </w:r>
          </w:p>
        </w:tc>
      </w:tr>
      <w:tr>
        <w:trPr>
          <w:trHeight w:val="481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주소</w:t>
            </w:r>
          </w:p>
        </w:tc>
        <w:tc>
          <w:tcPr>
            <w:tcW w:type="dxa" w:w="8286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서울특별시 마포구 월드컵북로 100</w:t>
            </w:r>
          </w:p>
        </w:tc>
      </w:tr>
      <w:tr>
        <w:trPr>
          <w:trHeight w:val="481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채권자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김서연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010-9876-5432</w:t>
            </w:r>
          </w:p>
        </w:tc>
      </w:tr>
      <w:tr>
        <w:trPr>
          <w:trHeight w:val="481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주소</w:t>
            </w:r>
          </w:p>
        </w:tc>
        <w:tc>
          <w:tcPr>
            <w:tcW w:type="dxa" w:w="8286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서울특별시 서대문구 충정로 30</w:t>
            </w:r>
          </w:p>
        </w:tc>
      </w:tr>
    </w:tbl>
    <w:p>
      <w:pPr>
        <w:spacing w:after="42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2" w:before="85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채무 내역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81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발생일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원금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이자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현재 잔액</w:t>
            </w:r>
          </w:p>
        </w:tc>
      </w:tr>
      <w:tr>
        <w:trPr>
          <w:trHeight w:val="481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2025-03-10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금 10,000,000원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금 500,000원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금 10,500,000원</w:t>
            </w:r>
          </w:p>
        </w:tc>
      </w:tr>
      <w:tr>
        <w:trPr>
          <w:trHeight w:val="481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2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2" w:before="85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변제 계획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51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회차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변제일</w:t>
            </w:r>
          </w:p>
        </w:tc>
        <w:tc>
          <w:tcPr>
            <w:tcW w:type="dxa" w:w="305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변제금액</w:t>
            </w:r>
          </w:p>
        </w:tc>
        <w:tc>
          <w:tcPr>
            <w:tcW w:type="dxa" w:w="305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잔액</w:t>
            </w:r>
          </w:p>
        </w:tc>
      </w:tr>
      <w:tr>
        <w:trPr>
          <w:trHeight w:val="451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2026-04-10</w:t>
            </w:r>
          </w:p>
        </w:tc>
        <w:tc>
          <w:tcPr>
            <w:tcW w:type="dxa" w:w="305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금 1,750,000원</w:t>
            </w:r>
          </w:p>
        </w:tc>
        <w:tc>
          <w:tcPr>
            <w:tcW w:type="dxa" w:w="305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금 8,750,000원</w:t>
            </w:r>
          </w:p>
        </w:tc>
      </w:tr>
      <w:tr>
        <w:trPr>
          <w:trHeight w:val="451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2026-05-10</w:t>
            </w:r>
          </w:p>
        </w:tc>
        <w:tc>
          <w:tcPr>
            <w:tcW w:type="dxa" w:w="305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금 1,750,000원</w:t>
            </w:r>
          </w:p>
        </w:tc>
        <w:tc>
          <w:tcPr>
            <w:tcW w:type="dxa" w:w="305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금 7,000,000원</w:t>
            </w:r>
          </w:p>
        </w:tc>
      </w:tr>
      <w:tr>
        <w:trPr>
          <w:trHeight w:val="451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3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2026-06-10</w:t>
            </w:r>
          </w:p>
        </w:tc>
        <w:tc>
          <w:tcPr>
            <w:tcW w:type="dxa" w:w="305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금 1,750,000원</w:t>
            </w:r>
          </w:p>
        </w:tc>
        <w:tc>
          <w:tcPr>
            <w:tcW w:type="dxa" w:w="305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금 5,250,000원</w:t>
            </w:r>
          </w:p>
        </w:tc>
      </w:tr>
      <w:tr>
        <w:trPr>
          <w:trHeight w:val="451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4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2026-07-10</w:t>
            </w:r>
          </w:p>
        </w:tc>
        <w:tc>
          <w:tcPr>
            <w:tcW w:type="dxa" w:w="305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금 1,750,000원</w:t>
            </w:r>
          </w:p>
        </w:tc>
        <w:tc>
          <w:tcPr>
            <w:tcW w:type="dxa" w:w="305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금 3,500,000원</w:t>
            </w:r>
          </w:p>
        </w:tc>
      </w:tr>
      <w:tr>
        <w:trPr>
          <w:trHeight w:val="451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5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2026-08-10</w:t>
            </w:r>
          </w:p>
        </w:tc>
        <w:tc>
          <w:tcPr>
            <w:tcW w:type="dxa" w:w="305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금 1,750,000원</w:t>
            </w:r>
          </w:p>
        </w:tc>
        <w:tc>
          <w:tcPr>
            <w:tcW w:type="dxa" w:w="305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금 1,750,000원</w:t>
            </w:r>
          </w:p>
        </w:tc>
      </w:tr>
      <w:tr>
        <w:trPr>
          <w:trHeight w:val="451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6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2026-09-10</w:t>
            </w:r>
          </w:p>
        </w:tc>
        <w:tc>
          <w:tcPr>
            <w:tcW w:type="dxa" w:w="305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금 1,750,000원</w:t>
            </w:r>
          </w:p>
        </w:tc>
        <w:tc>
          <w:tcPr>
            <w:tcW w:type="dxa" w:w="305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금 0원</w:t>
            </w:r>
          </w:p>
        </w:tc>
      </w:tr>
    </w:tbl>
    <w:p>
      <w:pPr>
        <w:spacing w:after="42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2" w:before="85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4. 이행 확약</w:t>
      </w:r>
    </w:p>
    <w:p>
      <w:pPr>
        <w:spacing w:after="42" w:before="0" w:line="312" w:lineRule="auto"/>
        <w:ind w:left="170"/>
        <w:jc w:val="left"/>
      </w:pPr>
      <w:r>
        <w:rPr>
          <w:rFonts w:ascii="Malgun Gothic" w:hAnsi="Malgun Gothic" w:eastAsia="Malgun Gothic" w:cs="Malgun Gothic"/>
          <w:b w:val="0"/>
          <w:sz w:val="20"/>
        </w:rPr>
        <w:t>· 채무자는 위 채무가 존재함을 인정하고, 위 변제계획에 따라 성실히 이행할 것을 확약합니다.</w:t>
      </w:r>
    </w:p>
    <w:p>
      <w:pPr>
        <w:spacing w:after="42" w:before="0" w:line="312" w:lineRule="auto"/>
        <w:ind w:left="170"/>
        <w:jc w:val="left"/>
      </w:pPr>
      <w:r>
        <w:rPr>
          <w:rFonts w:ascii="Malgun Gothic" w:hAnsi="Malgun Gothic" w:eastAsia="Malgun Gothic" w:cs="Malgun Gothic"/>
          <w:b w:val="0"/>
          <w:sz w:val="20"/>
        </w:rPr>
        <w:t>· 변제를 2회 이상 지체하는 경우 기한의 이익을 상실하고 잔액 전부를 즉시 지급합니다.</w:t>
      </w:r>
    </w:p>
    <w:p>
      <w:pPr>
        <w:spacing w:after="42" w:before="0" w:line="312" w:lineRule="auto"/>
        <w:ind w:left="170"/>
        <w:jc w:val="left"/>
      </w:pPr>
      <w:r>
        <w:rPr>
          <w:rFonts w:ascii="Malgun Gothic" w:hAnsi="Malgun Gothic" w:eastAsia="Malgun Gothic" w:cs="Malgun Gothic"/>
          <w:b w:val="0"/>
          <w:sz w:val="20"/>
        </w:rPr>
        <w:t>· 주소나 연락처가 변경된 경우 지체 없이 채권자에게 알립니다.</w:t>
      </w:r>
    </w:p>
    <w:p>
      <w:pPr>
        <w:spacing w:after="85" w:before="85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 9 월   13 일</w:t>
      </w:r>
    </w:p>
    <w:p>
      <w:pPr>
        <w:spacing w:after="85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채무자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홍길동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85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채권자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김서연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0" w:before="64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본 서식은 참고용이며, 변제계획의 법적 효력이나 이자율의 적정성 등 구체적인 판단은 법률 전문가에게 확인하십시오.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