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업     계  획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작성부서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영업1팀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대상기간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4Q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영업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전년실적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당해목표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증감률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8.2억원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9.8억원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+19.5%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확대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12개사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18개사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+50%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고객·채널별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고객/채널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전년실적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당해목표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품목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(주)새길데이터(직거래)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2.1억원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2.6억원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서버 장비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한빛물산(대리점)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1.4억원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1.9억원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0.9억원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1.5억원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소모품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추진 전략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신규 거래처 발굴, 기존 거래처 확대, 채널 다변화 등 핵심 전략을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기존 거래처 재구매율 제고를 위해 분기별 정기 방문을 확대하고, 신규 거래처는 전시회·소개 경로로 발굴한다. 온라인몰 채널은 프로모션을 월 1회 진행해 유입을 늘린다.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월별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활동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매출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10월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방문 10건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3.1억원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11월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연말 프로모션 기획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3.3억원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