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장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1988-11-02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 청구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소가(청구금액)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5,000,000원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64" w:before="0" w:line="312" w:lineRule="auto"/>
        <w:jc w:val="both"/>
      </w:pPr>
      <w:r>
        <w:rPr>
          <w:rFonts w:ascii="Malgun Gothic" w:hAnsi="Malgun Gothic" w:eastAsia="Malgun Gothic" w:cs="Malgun Gothic"/>
          <w:b w:val="0"/>
          <w:color w:val="1F5C8C"/>
          <w:sz w:val="20"/>
        </w:rPr>
        <w:t>1. 피고는 원고에게 금 5,000,000원 및 이에 대하여 2026년 4월 20일부터 다 갚는 날까지 연 12%의 비율로 계산한 돈을 지급하라.</w:t>
      </w:r>
    </w:p>
    <w:p>
      <w:pPr>
        <w:spacing w:after="6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2. 소송비용은 피고가 부담한다.</w:t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3. 제1항은 가집행할 수 있다.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0"/>
        </w:rPr>
        <w:t>라는 판결을 구합니다.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다툼의 경위를 시간순으로 기재하십시오. 언제, 누구와, 어떤 약정을 했고, 피고가 무엇을 이행하지 않았는지 사실만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53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원고는 2026년 3월 10일 피고와 사무용 가구 공급계약을 체결하고 같은 달 20일 물품을 인도하였습니다. 계약상 대금 지급기일은 2026년 4월 20일이었으나 피고는 현재까지 물품대금 5,000,000원을 지급하지 않고 있습니다. 원고는 2026년 5월부터 수차례 전화와 문자로 지급을 요청하였으나 피고로부터 지급이 이루어지지 않아 이 사건 청구에 이르게 되었습니다.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물품공급계약서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2026-03-10 체결 계약서 사본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거래명세서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인도 내역 확인서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인지·송달료 납부서 각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원고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1F5C8C"/>
          <w:sz w:val="24"/>
        </w:rPr>
        <w:t>서울서부지방법원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소액사건은 청구금액 3천만원 이하가 대상입니다. 인지대와 송달료는 청구금액·당사자 수에 따라 달라지므로 제출 직전 법원에 확인하십시오. 본 서식은 참고용이며 법적 효력과 적합성은 이용자가 확인해야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