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소가(청구금액)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1. 피고는 원고에게 금            원 및 이에 대하여 20   년   월   일부터 다 갚는 날까지 연      %의 비율로 계산한 돈을 지급하라.</w:t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2. 소송비용은 피고가 부담한다.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3. 제1항은 가집행할 수 있다.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0"/>
        </w:rPr>
        <w:t>라는 판결을 구합니다.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다툼의 경위를 시간순으로 기재하십시오. 언제, 누구와, 어떤 약정을 했고, 피고가 무엇을 이행하지 않았는지 사실만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53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인지·송달료 납부서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원고 :                                        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소액사건은 청구금액 3천만원 이하가 대상입니다. 인지대와 송달료는 청구금액·당사자 수에 따라 달라지므로 제출 직전 법원에 확인하십시오. 본 서식은 참고용이며 법적 효력과 적합성은 이용자가 확인해야 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