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하도급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원사업자와 수급사업자는 다음과 같이 하도급계약을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원사업자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수급사업자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공사(용역)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공사(용역)명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사옥 리모델링 전기설비 공사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공사(작업)장소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2026-12-31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도급금액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80,000,000원 (금 팔천만원)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원사업자가 수급사업자에게 위 공사(용역)의 시공·수행을 위탁하고, 수급사업자가 이를 수행하는 것을 목적으로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(계약금액과 대금 지급)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수급사업자에게 위 도급금액을 지급하며, 지급 시기·방법과 지급기일은 관련 법령이 정한 기준을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대금은 수급사업자가 지정한 계좌로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(선급금)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원사업자가 발주자로부터 선급금을 받은 경우, 받은 날로부터 관련 법령이 정한 기간 내에 수급사업자에게 같은 비율의 선급금을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(설계변경과 대금의 조정)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설계변경, 공사기간 연장 등으로 하도급대금이 변경되어야 하는 경우 원사업자는 그 사유가 발생한 날로부터 상당한 기간 내에 대금을 조정하여 지급한다.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(검수)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수급사업자로부터 공사(용역)의 완료를 통지받은 후 정한 기간 내에 검사하고 그 결과를 통지한다.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(하자담보책임)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수급사업자는 공사(용역) 결과물이 계약 내용에 적합함을 보증하며, 하자가 발견된 경우 원사업자가 정한 기간 내에 보수한다.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(안전보건)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수급사업자는 작업 현장의 안전보건 관계 법령을 준수하고, 원사업자는 산업안전보건법 등에 따른 안전조치에 협조한다.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(부당한 특약의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수급사업자의 이익을 부당하게 침해하는 특약을 정할 수 없으며, 그러한 특약은 효력이 없다.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원사업자가 대금 지급을 지체하는 경우 지연기간에 대하여 관련 법령이 정한 지연손해금을 가산하여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(분쟁조정)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먼저 당사자 간 협의로 해결하며, 협의가 이루어지지 않으면 하도급분쟁조정협의회에 조정을 신청하거나 관할법원에 제기할 수 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원사업자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수급사업자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하도급거래 공정화에 관한 법률에 따라 원사업자는 계약서를 수급사업자에게 서면으로 발급해야 하며, 대금 지급기일 등 세부 기준이 있으므로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