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08988" w14:textId="77777777" w:rsidR="00C52989" w:rsidRPr="00C52989" w:rsidRDefault="00C52989" w:rsidP="00C52989">
      <w:pPr>
        <w:spacing w:before="240" w:after="0"/>
        <w:rPr>
          <w:rFonts w:eastAsia="Times New Roman" w:cs="Arial"/>
          <w:b/>
          <w:bCs/>
          <w:sz w:val="22"/>
          <w:lang w:eastAsia="pt-BR"/>
        </w:rPr>
      </w:pPr>
      <w:bookmarkStart w:id="0" w:name="_GoBack"/>
      <w:bookmarkEnd w:id="0"/>
      <w:r w:rsidRPr="00C52989">
        <w:rPr>
          <w:rFonts w:eastAsia="Times New Roman" w:cs="Arial"/>
          <w:b/>
          <w:bCs/>
          <w:sz w:val="22"/>
          <w:lang w:eastAsia="pt-BR"/>
        </w:rPr>
        <w:t xml:space="preserve">Comunicado à Imprensa. </w:t>
      </w:r>
    </w:p>
    <w:p w14:paraId="44A79DC7" w14:textId="75CA306A" w:rsidR="00C52989" w:rsidRDefault="00C52989" w:rsidP="00C52989">
      <w:pPr>
        <w:spacing w:before="240" w:after="0"/>
        <w:rPr>
          <w:rFonts w:eastAsia="Times New Roman" w:cs="Arial"/>
          <w:b/>
          <w:bCs/>
          <w:sz w:val="22"/>
          <w:lang w:eastAsia="pt-BR"/>
        </w:rPr>
      </w:pPr>
      <w:r>
        <w:rPr>
          <w:rFonts w:eastAsia="Times New Roman" w:cs="Arial"/>
          <w:b/>
          <w:bCs/>
          <w:sz w:val="22"/>
          <w:lang w:eastAsia="pt-BR"/>
        </w:rPr>
        <w:t xml:space="preserve">FLACSO, ONU Mulheres, OPAS/OM e a SPM </w:t>
      </w:r>
      <w:r w:rsidRPr="00C52989">
        <w:rPr>
          <w:rFonts w:eastAsia="Times New Roman" w:cs="Arial"/>
          <w:b/>
          <w:bCs/>
          <w:sz w:val="22"/>
          <w:lang w:eastAsia="pt-BR"/>
        </w:rPr>
        <w:t>divulgam novo Mapa da Violência 201</w:t>
      </w:r>
      <w:r w:rsidR="002003D4">
        <w:rPr>
          <w:rFonts w:eastAsia="Times New Roman" w:cs="Arial"/>
          <w:b/>
          <w:bCs/>
          <w:sz w:val="22"/>
          <w:lang w:eastAsia="pt-BR"/>
        </w:rPr>
        <w:t>5</w:t>
      </w:r>
      <w:r w:rsidRPr="00C52989">
        <w:rPr>
          <w:rFonts w:eastAsia="Times New Roman" w:cs="Arial"/>
          <w:b/>
          <w:bCs/>
          <w:sz w:val="22"/>
          <w:lang w:eastAsia="pt-BR"/>
        </w:rPr>
        <w:t xml:space="preserve">: </w:t>
      </w:r>
      <w:r w:rsidR="002003D4">
        <w:rPr>
          <w:rFonts w:eastAsia="Times New Roman" w:cs="Arial"/>
          <w:b/>
          <w:bCs/>
          <w:sz w:val="22"/>
          <w:lang w:eastAsia="pt-BR"/>
        </w:rPr>
        <w:t>Homicídio de Mulheres</w:t>
      </w:r>
      <w:r w:rsidRPr="00C52989">
        <w:rPr>
          <w:rFonts w:eastAsia="Times New Roman" w:cs="Arial"/>
          <w:b/>
          <w:bCs/>
          <w:sz w:val="22"/>
          <w:lang w:eastAsia="pt-BR"/>
        </w:rPr>
        <w:t xml:space="preserve"> no Brasil.</w:t>
      </w:r>
    </w:p>
    <w:p w14:paraId="1DDCC635" w14:textId="77777777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Homicídio contra negras aumenta 54% em 10 anos, aponta Mapa da Violência 2015</w:t>
      </w:r>
    </w:p>
    <w:p w14:paraId="39AC932E" w14:textId="45ECE04E" w:rsidR="00066105" w:rsidRPr="00024756" w:rsidRDefault="00066105" w:rsidP="00024756">
      <w:pPr>
        <w:spacing w:before="240" w:after="0"/>
        <w:rPr>
          <w:rFonts w:eastAsia="Times New Roman" w:cs="Arial"/>
          <w:i/>
          <w:iCs/>
          <w:sz w:val="22"/>
          <w:lang w:eastAsia="pt-BR"/>
        </w:rPr>
      </w:pPr>
      <w:r w:rsidRPr="00024756">
        <w:rPr>
          <w:rFonts w:eastAsia="Times New Roman" w:cs="Arial"/>
          <w:i/>
          <w:iCs/>
          <w:sz w:val="22"/>
          <w:lang w:eastAsia="pt-BR"/>
        </w:rPr>
        <w:t>Estudo revela ainda que 50,3% das mortes violentas de mulheres são cometidas por familiares e 33,2% por parceiros ou ex-parceiros</w:t>
      </w:r>
      <w:r w:rsidR="008405E3" w:rsidRPr="00024756">
        <w:rPr>
          <w:rFonts w:eastAsia="Times New Roman" w:cs="Arial"/>
          <w:i/>
          <w:iCs/>
          <w:sz w:val="22"/>
          <w:lang w:eastAsia="pt-BR"/>
        </w:rPr>
        <w:t>. Entre 1980 e 2013 foram vítimas de assassinato 106.093 mulheres, 4.762 só em 2013.</w:t>
      </w:r>
    </w:p>
    <w:p w14:paraId="2C9720D5" w14:textId="6E938A8A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O Mapa da Violência 2015, elaborado pela Faculdade Latino-Americana de Ciências Sociais (Flacso), aponta um aumento de 54% em dez anos no número de homicídios de mulheres negras, passando de 1.864, em 2003, para 2.875, em 2013. No mesmo período, a quantidade anual de homicídios de mulheres brancas caiu 9,8%, saindo de 1.747 em 2003 para 1.576 em 2013. O lançamento da pesquisa conta com o apoio do escritório no Brasil da ONU Mulheres, da Organização Pan-Americana da Saúde/Organização Mundial da Saúde (OPAS/OMS) e da </w:t>
      </w:r>
      <w:r w:rsidR="00346135" w:rsidRPr="00346135">
        <w:rPr>
          <w:rFonts w:eastAsia="Times New Roman" w:cs="Arial"/>
          <w:sz w:val="22"/>
          <w:lang w:eastAsia="pt-BR"/>
        </w:rPr>
        <w:t>Secretaria Especial de Políticas para as Mulheres (SPM) do Ministério das Mulheres, da Igualdade Racial e dos Direitos Humanos.</w:t>
      </w:r>
    </w:p>
    <w:p w14:paraId="3CD34C0B" w14:textId="7E8DF7C3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Nesta edição, o estudo foca a violência de gênero e revela que, no Brasil, 55,3% desses crimes foram cometidos no ambiente doméstico e 33,2% dos homicidas eram parceiros ou ex-parceiros das vítimas, com base em dados de 2013 do Ministério da Saúde. O país tem uma taxa de 4,8 homicídios por cada 100 mil mulheres, a quinta maior do mundo, conforme dados da OMS que avaliaram um grupo de 83 países.</w:t>
      </w:r>
    </w:p>
    <w:p w14:paraId="1DC93513" w14:textId="77777777" w:rsidR="008F5BA7" w:rsidRPr="00024756" w:rsidRDefault="008F5BA7" w:rsidP="008F5BA7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A divulgação da pesquisa em novembro tem especial significação: </w:t>
      </w:r>
      <w:r>
        <w:rPr>
          <w:rFonts w:eastAsia="Times New Roman" w:cs="Arial"/>
          <w:sz w:val="22"/>
          <w:lang w:eastAsia="pt-BR"/>
        </w:rPr>
        <w:t xml:space="preserve">início dos 16 Dias de Ativismo pelo Fim da Violência contra as Mulheres, ações da campanha do Secretário-Geral da ONU </w:t>
      </w:r>
      <w:r w:rsidRPr="00024756">
        <w:rPr>
          <w:rFonts w:eastAsia="Times New Roman" w:cs="Arial"/>
          <w:sz w:val="22"/>
          <w:lang w:eastAsia="pt-BR"/>
        </w:rPr>
        <w:t xml:space="preserve">UNA-SE Pelo Fim da Violência contra as Mulheres, o Dia Internacional de Eliminação da Violência contra as Mulheres e também o Dia Nacional da Consciência Negra. </w:t>
      </w:r>
    </w:p>
    <w:p w14:paraId="09E66295" w14:textId="4E4B6AB2" w:rsidR="00066105" w:rsidRPr="00024756" w:rsidRDefault="007269D2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Segundo a Diretora da</w:t>
      </w:r>
      <w:r w:rsidR="00024756" w:rsidRPr="00024756">
        <w:rPr>
          <w:rFonts w:eastAsia="Times New Roman" w:cs="Arial"/>
          <w:sz w:val="22"/>
          <w:lang w:eastAsia="pt-BR"/>
        </w:rPr>
        <w:t xml:space="preserve"> Flacso Brasil, Salete Vales</w:t>
      </w:r>
      <w:r w:rsidRPr="00024756">
        <w:rPr>
          <w:rFonts w:eastAsia="Times New Roman" w:cs="Arial"/>
          <w:sz w:val="22"/>
          <w:lang w:eastAsia="pt-BR"/>
        </w:rPr>
        <w:t>an</w:t>
      </w:r>
      <w:r w:rsidR="00024756" w:rsidRPr="00024756">
        <w:rPr>
          <w:rFonts w:eastAsia="Times New Roman" w:cs="Arial"/>
          <w:sz w:val="22"/>
          <w:lang w:eastAsia="pt-BR"/>
        </w:rPr>
        <w:t xml:space="preserve"> Camba</w:t>
      </w:r>
      <w:r w:rsidRPr="00024756">
        <w:rPr>
          <w:rFonts w:eastAsia="Times New Roman" w:cs="Arial"/>
          <w:sz w:val="22"/>
          <w:lang w:eastAsia="pt-BR"/>
        </w:rPr>
        <w:t>, “</w:t>
      </w:r>
      <w:r w:rsidR="00066105" w:rsidRPr="00024756">
        <w:rPr>
          <w:rFonts w:eastAsia="Times New Roman" w:cs="Arial"/>
          <w:sz w:val="22"/>
          <w:lang w:eastAsia="pt-BR"/>
        </w:rPr>
        <w:t>O Mapa da Violência é um trabalho desenvolvido pelo pesquisador Julio</w:t>
      </w:r>
      <w:r w:rsidRPr="00024756">
        <w:rPr>
          <w:rFonts w:eastAsia="Times New Roman" w:cs="Arial"/>
          <w:sz w:val="22"/>
          <w:lang w:eastAsia="pt-BR"/>
        </w:rPr>
        <w:t xml:space="preserve"> Jacobo Waiselfisz desde 1998 e j</w:t>
      </w:r>
      <w:r w:rsidR="00066105" w:rsidRPr="00024756">
        <w:rPr>
          <w:rFonts w:eastAsia="Times New Roman" w:cs="Arial"/>
          <w:sz w:val="22"/>
          <w:lang w:eastAsia="pt-BR"/>
        </w:rPr>
        <w:t xml:space="preserve">á foram divulgados 27 </w:t>
      </w:r>
      <w:r w:rsidRPr="00024756">
        <w:rPr>
          <w:rFonts w:eastAsia="Times New Roman" w:cs="Arial"/>
          <w:sz w:val="22"/>
          <w:lang w:eastAsia="pt-BR"/>
        </w:rPr>
        <w:t>estudos</w:t>
      </w:r>
      <w:r w:rsidR="00066105" w:rsidRPr="00024756">
        <w:rPr>
          <w:rFonts w:eastAsia="Times New Roman" w:cs="Arial"/>
          <w:sz w:val="22"/>
          <w:lang w:eastAsia="pt-BR"/>
        </w:rPr>
        <w:t xml:space="preserve"> que têm contribuído de forma decisiva na reflexão da sociedade brasileira sobre as múltiplas formas de violência que se abatem sobre seus cidadãos e cidadãs, ceifando vidas, destruindo famílias, impedindo a realização dos futuros possíveis que essas vidas poderiam propiciar a toda à sociedade", </w:t>
      </w:r>
    </w:p>
    <w:p w14:paraId="64EAEB70" w14:textId="267EA41B" w:rsidR="00CE28D3" w:rsidRDefault="00CE28D3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CE28D3">
        <w:rPr>
          <w:rFonts w:eastAsia="Times New Roman" w:cs="Arial"/>
          <w:sz w:val="22"/>
          <w:lang w:eastAsia="pt-BR"/>
        </w:rPr>
        <w:t>Para a representante da ONU Mulheres Brasil, Nadine Gasman, o estudo inova ao revelar a combinação cruel e extremamente violenta entre racismo e sexismo no Brasil. “As mulheres negras estão expostas à violência direta, que lhes vitima fatalmente nas relações afetivas, e indireta, àquela que atinge seus filhos e pessoas próximas. É uma realidade diária, marcada por trajetórias e situações muito duras e que elas enfrentam, na maioria das vezes, sozinhas. Os dados denunciam outra bárbara faceta do racismo e amplia a reflexão sobre os tipos de violência sofridas pelas mulheres. É urgente criar consciência pública de não tolerância ao racismo e acelerar respostas institucionais concretas em favor das mulheres negras”. Gasman lembra a realização da Década Internacional de Afrodescendentes, entre 2015 e 2024, para promover o respeito, a proteção e a realização de todos os direitos humanos e liberdades fundamentais de afrodescendentes, como reconhecidos na Declaração Universal dos Direitos Humanos e especificados na Declaração e Plano de Ação de Durban.</w:t>
      </w:r>
    </w:p>
    <w:p w14:paraId="2688CD70" w14:textId="3E48FB64" w:rsidR="00066105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Segundo o representante da Organização Pan-Americana da Saúde/Organização Mundial da Saúde (OPAS/OMS) no Brasil, Joaquín Molina, a pesquisa contribui para aumentar a conscientização sobre a violência de gênero, em especial a morte violenta de mulheres. “A violência contra a mulher é um problema de saúde pública, que afeta mulheres em diversas regiões do país e do mundo. Divulgar dados e estudos sobre esse tema ajuda a compreender a dimensão do problema e pôr fim a uma prática que tem tirado a vida das mulheres”. Ele também </w:t>
      </w:r>
      <w:r w:rsidRPr="00024756">
        <w:rPr>
          <w:rFonts w:eastAsia="Times New Roman" w:cs="Arial"/>
          <w:sz w:val="22"/>
          <w:lang w:eastAsia="pt-BR"/>
        </w:rPr>
        <w:lastRenderedPageBreak/>
        <w:t>destaca a importância de iniciativas como a Campanha UNA-SE pelo fim da violência contra as mulheres, do Secretário Geral das Nações Unidas, Ban Ki-Moon, que proclama o dia 25 de cada mês como o Dia Laranja para reunir esforços e dar visibilidade ao tema.</w:t>
      </w:r>
    </w:p>
    <w:p w14:paraId="37C166AF" w14:textId="073E264B" w:rsidR="00E329CD" w:rsidRPr="00F66DE1" w:rsidRDefault="00E329CD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F66DE1">
        <w:rPr>
          <w:sz w:val="22"/>
        </w:rPr>
        <w:t xml:space="preserve">"O governo da presidenta Dilma Rousseff tem tolerância zero com a violência contra as mulheres. Nós, da Secretaria de Políticas para as Mulheres, trabalhamos incansavelmente para reduzir as estatísticas. Além de fortalecer o programa </w:t>
      </w:r>
      <w:r w:rsidRPr="00F66DE1">
        <w:rPr>
          <w:i/>
          <w:iCs/>
          <w:sz w:val="22"/>
        </w:rPr>
        <w:t xml:space="preserve">Mulher, Viver sem Violência </w:t>
      </w:r>
      <w:r w:rsidRPr="00F66DE1">
        <w:rPr>
          <w:sz w:val="22"/>
        </w:rPr>
        <w:t>e a rede de atendimento às mulheres, conseguimos, em conjunto com as bancadas femininas da Câmara e do Senado, aprovar este ano a Lei do Feminicídio, um grande passo para punir os criminosos e coibir os crimes por razão de gênero. Com a divulgação do Mapa da Violência, temos mais elementos para continuar investindo em políticas públicas", afirma a secretária especial de Políticas para as Mulheres do Ministério das Mulheres, da Igualdade Racial e dos Direitos Humanos, Eleonora Menicucci.</w:t>
      </w:r>
    </w:p>
    <w:p w14:paraId="764FCC48" w14:textId="77777777" w:rsidR="00E329CD" w:rsidRDefault="00E329CD">
      <w:pPr>
        <w:spacing w:after="160" w:line="259" w:lineRule="auto"/>
        <w:jc w:val="left"/>
        <w:rPr>
          <w:rFonts w:cs="Arial"/>
          <w:b/>
          <w:sz w:val="22"/>
        </w:rPr>
      </w:pPr>
    </w:p>
    <w:p w14:paraId="22F0CCD7" w14:textId="500DE5D0" w:rsidR="00EF5573" w:rsidRPr="00024756" w:rsidRDefault="00EF5573" w:rsidP="00024756">
      <w:pPr>
        <w:spacing w:after="0"/>
        <w:rPr>
          <w:rFonts w:cs="Arial"/>
          <w:b/>
          <w:sz w:val="22"/>
        </w:rPr>
      </w:pPr>
      <w:r w:rsidRPr="00024756">
        <w:rPr>
          <w:rFonts w:cs="Arial"/>
          <w:b/>
          <w:sz w:val="22"/>
        </w:rPr>
        <w:t>Antecedentes</w:t>
      </w:r>
    </w:p>
    <w:p w14:paraId="0AEF1093" w14:textId="77777777" w:rsidR="00EF5573" w:rsidRPr="00024756" w:rsidRDefault="00EF5573" w:rsidP="00024756">
      <w:pPr>
        <w:spacing w:after="0"/>
        <w:rPr>
          <w:rFonts w:cs="Arial"/>
          <w:sz w:val="22"/>
        </w:rPr>
      </w:pPr>
    </w:p>
    <w:p w14:paraId="105BA149" w14:textId="77777777" w:rsidR="00EF5573" w:rsidRPr="00024756" w:rsidRDefault="00EF5573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A violência contra a mulher não é um fato novo. Pelo contrário, é tão antigo quanto a humanidade. O que é novo, e muito recente, é a preocupação com a superação dessa violência como condição necessária para a construção de nossa humanidade. E mais novo ainda é a judicialização do problema, entendendo a judicialização como a criminalização da violência contra as mulheres, não só pela letra das normas ou leis, mas também, e fundamentalmente, pela consolidação de estruturas específicas, mediante as quais o aparelho policial e/ou jurídico pode ser mobilizado para proteger as vítimas e/ou punir os agressores. No Brasil, há nove anos, em agosto de 2006, era sancionada a Lei 11.340, conhecida como Lei Maria da Penha, visando incrementar e destacar o rigor das punições para esse tipo de crime.</w:t>
      </w:r>
    </w:p>
    <w:p w14:paraId="264724BE" w14:textId="77777777" w:rsidR="00EF5573" w:rsidRPr="00024756" w:rsidRDefault="00EF5573" w:rsidP="00024756">
      <w:pPr>
        <w:spacing w:after="0"/>
        <w:rPr>
          <w:rFonts w:cs="Arial"/>
          <w:sz w:val="22"/>
        </w:rPr>
      </w:pPr>
    </w:p>
    <w:p w14:paraId="125961D8" w14:textId="77777777" w:rsidR="00EF5573" w:rsidRPr="00024756" w:rsidRDefault="00EF5573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 xml:space="preserve">Não é a primeira vez que o Mapa da Violência foca especificamente o tema da violência de gênero. De forma habitual, todos os Mapas trabalharam a distribuição por sexo das violências, sejam suicídios, homicídios ou acidentes de transporte. Em 2012, dada a relevância do tema e as diversas solicitações nesse sentido, foi elaborado o primeiro mapa especificamente focado nas questões de gênero. </w:t>
      </w:r>
    </w:p>
    <w:p w14:paraId="0A0B66A0" w14:textId="77777777" w:rsidR="00EF5573" w:rsidRPr="00024756" w:rsidRDefault="00EF5573" w:rsidP="00024756">
      <w:pPr>
        <w:spacing w:after="0"/>
        <w:rPr>
          <w:rFonts w:cs="Arial"/>
          <w:sz w:val="22"/>
        </w:rPr>
      </w:pPr>
    </w:p>
    <w:p w14:paraId="726CC2B7" w14:textId="77777777" w:rsidR="00EF5573" w:rsidRPr="00024756" w:rsidRDefault="00EF5573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Com informações atualizadas dos Mapas anteriores, visando verificar a evolução recente do problema no Brasil e no mundo, e, para a divulgação dos novos dados, a Faculdade Latino-Americana de Ciências Sociais (Flacso), Sede Acadêmica Brasil, uniu forças com os escritórios no Brasil da ONU-Mulher e da OMS/OPAS e, também, com a Secretaria de Políticas para as Mulheres, visando ampliar a disseminação do estudo.</w:t>
      </w:r>
    </w:p>
    <w:p w14:paraId="5176E855" w14:textId="77777777" w:rsidR="00EF5573" w:rsidRPr="00024756" w:rsidRDefault="00EF5573" w:rsidP="00024756">
      <w:pPr>
        <w:spacing w:after="0"/>
        <w:rPr>
          <w:rFonts w:cs="Arial"/>
          <w:sz w:val="22"/>
        </w:rPr>
      </w:pPr>
    </w:p>
    <w:p w14:paraId="59BBD679" w14:textId="77777777" w:rsidR="00EF5573" w:rsidRPr="00024756" w:rsidRDefault="00EF5573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A fonte básica para a análise dos homicídios no Brasil, em todos os Mapas da Violência até hoje elaborados, é o Sistema de Informações de Mortalidade (SIM), da Secretaria de Vigilância em Saúde (SVS) do Ministério da Saúde (MS).</w:t>
      </w:r>
    </w:p>
    <w:p w14:paraId="161FD8BF" w14:textId="77777777" w:rsidR="00EF5573" w:rsidRPr="00024756" w:rsidRDefault="00EF5573" w:rsidP="00024756">
      <w:pPr>
        <w:spacing w:after="0"/>
        <w:rPr>
          <w:rFonts w:cs="Arial"/>
          <w:sz w:val="22"/>
        </w:rPr>
      </w:pPr>
    </w:p>
    <w:p w14:paraId="5ECAC35E" w14:textId="77777777" w:rsidR="00EF5573" w:rsidRPr="00024756" w:rsidRDefault="00EF5573" w:rsidP="00024756">
      <w:pPr>
        <w:spacing w:after="0"/>
        <w:rPr>
          <w:rFonts w:cs="Arial"/>
          <w:b/>
          <w:sz w:val="22"/>
        </w:rPr>
      </w:pPr>
      <w:r w:rsidRPr="00024756">
        <w:rPr>
          <w:rFonts w:cs="Arial"/>
          <w:sz w:val="22"/>
        </w:rPr>
        <w:t xml:space="preserve">A Flacso Brasil, como instituição dedicada à promoção de estudos e pesquisas em Ciências Sociais, cumprindo seu compromisso com a divulgação de estudos que contribuam para a melhoria da vida social e a superação de situações socialmente inaceitáveis, como a permanência da violência como linguagem validada, </w:t>
      </w:r>
      <w:r w:rsidRPr="00024756">
        <w:rPr>
          <w:rFonts w:cs="Arial"/>
          <w:b/>
          <w:sz w:val="22"/>
        </w:rPr>
        <w:t>lançará na próxima segunda-feira (9), o Mapa da Violência 2015 - Homicídio de mulheres no Brasil, às 10h, em Brasília.</w:t>
      </w:r>
    </w:p>
    <w:p w14:paraId="1334A055" w14:textId="10E1052C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A seguir, alguns dos dados apresentados no </w:t>
      </w:r>
      <w:r w:rsidRPr="00024756">
        <w:rPr>
          <w:rFonts w:eastAsia="Times New Roman" w:cs="Arial"/>
          <w:b/>
          <w:bCs/>
          <w:sz w:val="22"/>
          <w:lang w:eastAsia="pt-BR"/>
        </w:rPr>
        <w:t>Mapa da Violência 2015: homicídio de mulheres no Brasil</w:t>
      </w:r>
      <w:r w:rsidRPr="00024756">
        <w:rPr>
          <w:rFonts w:eastAsia="Times New Roman" w:cs="Arial"/>
          <w:sz w:val="22"/>
          <w:lang w:eastAsia="pt-BR"/>
        </w:rPr>
        <w:t>.</w:t>
      </w:r>
    </w:p>
    <w:p w14:paraId="64F785A3" w14:textId="69675AA2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HOMICÍDIO DE MULHERES NAS UFs</w:t>
      </w:r>
    </w:p>
    <w:p w14:paraId="06CEB73A" w14:textId="3D0CED71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Entre 2003 e 2013, o número de vítimas do sexo feminino passou de 3.937 para 4.762, incremento de 21,0% na década. Essas 4.762 mortes em 2013 representam 13 homicídios femininos diários.</w:t>
      </w:r>
    </w:p>
    <w:p w14:paraId="4357ECF5" w14:textId="5B49ED0F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lastRenderedPageBreak/>
        <w:t>Diversos estados evidenciaram pesado crescimento na década, como Roraima, onde as taxas mais que quadruplicaram (343,9%), ou Paraíba, onde mais que triplicaram (229,2%).</w:t>
      </w:r>
    </w:p>
    <w:p w14:paraId="1F2A5862" w14:textId="0CA36BF7" w:rsidR="00066105" w:rsidRPr="00024756" w:rsidRDefault="005541D9" w:rsidP="00024756">
      <w:pPr>
        <w:spacing w:before="240" w:after="0"/>
        <w:rPr>
          <w:rFonts w:eastAsia="Times New Roman" w:cs="Arial"/>
          <w:sz w:val="22"/>
          <w:lang w:eastAsia="pt-BR"/>
        </w:rPr>
      </w:pPr>
      <w:r>
        <w:rPr>
          <w:rFonts w:eastAsia="Times New Roman" w:cs="Arial"/>
          <w:sz w:val="22"/>
          <w:lang w:eastAsia="pt-BR"/>
        </w:rPr>
        <w:t>Entre 2006, ano da promulgação da lei Maria da Penha e 2013</w:t>
      </w:r>
      <w:r w:rsidR="00066105" w:rsidRPr="00024756">
        <w:rPr>
          <w:rFonts w:eastAsia="Times New Roman" w:cs="Arial"/>
          <w:sz w:val="22"/>
          <w:lang w:eastAsia="pt-BR"/>
        </w:rPr>
        <w:t>, apenas em cinco Unidades da Federação foram registradas quedas nas taxas: Rondônia, Espírito Santo, Pernambuco, São Paulo e Rio de Janeiro.</w:t>
      </w:r>
    </w:p>
    <w:p w14:paraId="368D783A" w14:textId="0054B1E5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HOMICÍDIO DE MULHERES NAS CAPITAIS</w:t>
      </w:r>
    </w:p>
    <w:p w14:paraId="6C4A0DA1" w14:textId="4C395CFB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Vitória, Maceió, João Pessoa e Fortaleza encabeçam as capitais com taxas mais elevadas no ano de 2013, acima de 10 homicídios por 100 mil mulheres. No outro extremo, São Paulo e Rio de Janeiro são as capitais com as menores taxas.</w:t>
      </w:r>
    </w:p>
    <w:p w14:paraId="7E3BB7C5" w14:textId="77777777" w:rsidR="00B312A4" w:rsidRDefault="00B312A4" w:rsidP="00024756">
      <w:pPr>
        <w:spacing w:before="240" w:after="0"/>
        <w:rPr>
          <w:rFonts w:eastAsia="Times New Roman" w:cs="Arial"/>
          <w:b/>
          <w:bCs/>
          <w:sz w:val="22"/>
          <w:lang w:eastAsia="pt-BR"/>
        </w:rPr>
      </w:pPr>
    </w:p>
    <w:p w14:paraId="54060D81" w14:textId="77777777" w:rsidR="00B312A4" w:rsidRDefault="00B312A4" w:rsidP="00024756">
      <w:pPr>
        <w:spacing w:before="240" w:after="0"/>
        <w:rPr>
          <w:rFonts w:eastAsia="Times New Roman" w:cs="Arial"/>
          <w:b/>
          <w:bCs/>
          <w:sz w:val="22"/>
          <w:lang w:eastAsia="pt-BR"/>
        </w:rPr>
      </w:pPr>
    </w:p>
    <w:p w14:paraId="6FF9BB0B" w14:textId="6335A1BA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HOMICÍDIO DE MULHERES NOS MUNICÍPIOS</w:t>
      </w:r>
    </w:p>
    <w:p w14:paraId="5A898204" w14:textId="1B8A3C08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Dentre 100 municípios com mais de 10.000 habitantes do sexo feminino (com as maiores taxas médias de homicídio de mulheres/por 100 mil), as 10 primeiras posições no </w:t>
      </w:r>
      <w:r w:rsidRPr="00024756">
        <w:rPr>
          <w:rFonts w:eastAsia="Times New Roman" w:cs="Arial"/>
          <w:i/>
          <w:iCs/>
          <w:sz w:val="22"/>
          <w:lang w:eastAsia="pt-BR"/>
        </w:rPr>
        <w:t>ranking</w:t>
      </w:r>
      <w:r w:rsidRPr="00024756">
        <w:rPr>
          <w:rFonts w:eastAsia="Times New Roman" w:cs="Arial"/>
          <w:sz w:val="22"/>
          <w:lang w:eastAsia="pt-BR"/>
        </w:rPr>
        <w:t xml:space="preserve"> nacional são: Barcelos/AM (1º), Alexânia/GO (2º), Sooretama/ES (3º), Conde/PB (4º), Senador Pompeu/CE (5º), Buritizeiro/MG (6º), Mata de São João/BA (7º), Pilar/AL (8º), Pojuca/BA (9º) e Itacaré/BA (10º).</w:t>
      </w:r>
    </w:p>
    <w:p w14:paraId="684DB861" w14:textId="212DC21E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ESTATÍSTICAS INTERNACIONAIS</w:t>
      </w:r>
    </w:p>
    <w:p w14:paraId="08A754C8" w14:textId="737CD01D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De acordo com os dados da OMS, o Brasil tem taxa de 4,8 homicídios por 100 mil mulheres, em 2013, o que coloca o país na 5ª posição internacional, entre 83 países do mundo.</w:t>
      </w:r>
    </w:p>
    <w:p w14:paraId="1B81376A" w14:textId="77777777" w:rsidR="00CE28D3" w:rsidRDefault="00CE28D3">
      <w:pPr>
        <w:spacing w:after="160" w:line="259" w:lineRule="auto"/>
        <w:jc w:val="left"/>
        <w:rPr>
          <w:rFonts w:eastAsia="Times New Roman" w:cs="Arial"/>
          <w:b/>
          <w:bCs/>
          <w:sz w:val="22"/>
          <w:lang w:eastAsia="pt-BR"/>
        </w:rPr>
      </w:pPr>
    </w:p>
    <w:p w14:paraId="166C3395" w14:textId="579701BC" w:rsidR="00066105" w:rsidRPr="00024756" w:rsidRDefault="00024756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C</w:t>
      </w:r>
      <w:r w:rsidR="00066105" w:rsidRPr="00024756">
        <w:rPr>
          <w:rFonts w:eastAsia="Times New Roman" w:cs="Arial"/>
          <w:b/>
          <w:bCs/>
          <w:sz w:val="22"/>
          <w:lang w:eastAsia="pt-BR"/>
        </w:rPr>
        <w:t>OR DAS VÍTIMAS</w:t>
      </w:r>
    </w:p>
    <w:p w14:paraId="50039413" w14:textId="166F5DFB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As taxas das mulheres e meninas negras vítimas de homicídios cresce de 22,9% em 2003 para 66,7% em 2013. Houve, nessa década, um aumento de 190,9% na vitimização de negras, índice que resulta da relação entre as taxas de mortalidade brancas e negras, expresso em percentual. </w:t>
      </w:r>
    </w:p>
    <w:p w14:paraId="3454788A" w14:textId="49751B75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IDADE DAS VÍTIMAS</w:t>
      </w:r>
    </w:p>
    <w:p w14:paraId="27A12598" w14:textId="2CAB36F7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Baixa ou nula incidência até os 10 anos de idade, crescimento íngreme até os 18/19 anos, e a partir dessa idade, tendência de lento declínio até a velhice. O platô que se estrutura no homicídio feminino, na faixa de 18 a 30 anos de idade, obedece à maior domesticidade da violência contra a mulher.</w:t>
      </w:r>
    </w:p>
    <w:p w14:paraId="6C2BFB6D" w14:textId="3F6864F1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MEIOS UTILIZADOS NOS HOMICÍDIOS E LOCAL DA AGRESSÃO</w:t>
      </w:r>
    </w:p>
    <w:p w14:paraId="6E59822D" w14:textId="22F548C5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Nos homicídios masculinos prepondera largamente a utilização de arma de fogo (73,2% dos casos), nos femininos essa incidência é bem menor: 48,8%, com o concomitante aumento de estrangulamento/sufocação, cortante/penetrante e objeto contundente, indicando maior presença de crimes de ódio ou por motivos fúteis/banais.</w:t>
      </w:r>
    </w:p>
    <w:p w14:paraId="7AE3E2AB" w14:textId="36F57187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Outro indicador diferencial dos homicídios de mulheres é o local onde ocorre a agressão. Quase a metade dos homicídios masculinos acontece na rua, com pouco peso do domicílio. Já nos femininos, essa proporção é bem menor: mesmo considerando que 31,2% acontecem na rua, o domicílio da vítima é, também, um local relevante (27,1%), indicando a alta domesticidade dos homicídios de mulheres.</w:t>
      </w:r>
    </w:p>
    <w:p w14:paraId="12FE66CD" w14:textId="77777777" w:rsidR="00024756" w:rsidRDefault="00024756" w:rsidP="00024756">
      <w:pPr>
        <w:spacing w:after="0"/>
        <w:rPr>
          <w:rFonts w:cs="Arial"/>
          <w:b/>
          <w:sz w:val="22"/>
        </w:rPr>
      </w:pPr>
    </w:p>
    <w:p w14:paraId="0B37E475" w14:textId="77777777" w:rsidR="00486FB7" w:rsidRPr="00024756" w:rsidRDefault="00486FB7" w:rsidP="00024756">
      <w:pPr>
        <w:spacing w:after="0"/>
        <w:rPr>
          <w:rFonts w:cs="Arial"/>
          <w:b/>
          <w:sz w:val="22"/>
        </w:rPr>
      </w:pPr>
      <w:r w:rsidRPr="00024756">
        <w:rPr>
          <w:rFonts w:cs="Arial"/>
          <w:b/>
          <w:sz w:val="22"/>
        </w:rPr>
        <w:t>ATENDIMENTOS POR VIOLÊNCIAS</w:t>
      </w:r>
    </w:p>
    <w:p w14:paraId="7A440CE8" w14:textId="77777777" w:rsidR="00486FB7" w:rsidRPr="00024756" w:rsidRDefault="00486FB7" w:rsidP="00024756">
      <w:pPr>
        <w:spacing w:after="0"/>
        <w:rPr>
          <w:rFonts w:cs="Arial"/>
          <w:b/>
          <w:sz w:val="22"/>
        </w:rPr>
      </w:pPr>
      <w:r w:rsidRPr="00024756">
        <w:rPr>
          <w:rFonts w:cs="Arial"/>
          <w:b/>
          <w:sz w:val="22"/>
        </w:rPr>
        <w:t>Sistema de Informação de Agravos de Notificação (Sinan)</w:t>
      </w:r>
    </w:p>
    <w:p w14:paraId="3F0F7282" w14:textId="77777777" w:rsidR="00486FB7" w:rsidRPr="00024756" w:rsidRDefault="00486FB7" w:rsidP="00024756">
      <w:pPr>
        <w:spacing w:after="0"/>
        <w:rPr>
          <w:rFonts w:cs="Arial"/>
          <w:sz w:val="22"/>
        </w:rPr>
      </w:pPr>
    </w:p>
    <w:p w14:paraId="4EA8AB0F" w14:textId="77777777" w:rsidR="00486FB7" w:rsidRPr="00024756" w:rsidRDefault="00486FB7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 xml:space="preserve">O foco do presente estudo é a violência letal dirigida contra a mulher. Como as Declarações de Óbito utilizadas como fonte para qualificar os homicídios não fazem referência aos autores da violência, foi necessário recorrer a fontes alternativas, espécie de </w:t>
      </w:r>
      <w:r w:rsidRPr="00024756">
        <w:rPr>
          <w:rFonts w:cs="Arial"/>
          <w:i/>
          <w:sz w:val="22"/>
        </w:rPr>
        <w:t>proxys</w:t>
      </w:r>
      <w:r w:rsidRPr="00024756">
        <w:rPr>
          <w:rFonts w:cs="Arial"/>
          <w:sz w:val="22"/>
        </w:rPr>
        <w:t>, usando registros de violências que, tendo as mesmas características e circunstâncias daquelas letais, não necessariamente levaram à morte da mulher agredida: O Sistema de Informação de Agravos de Notificação (Sinan), do Ministério da Saúde registra, de forma compulsória, os atendimentos realizados</w:t>
      </w:r>
      <w:r w:rsidR="00D96BA2" w:rsidRPr="00024756">
        <w:rPr>
          <w:rFonts w:cs="Arial"/>
          <w:sz w:val="22"/>
        </w:rPr>
        <w:t xml:space="preserve"> pelo Sistema Único de Saúde diante da suspeita de violência contra as mulheres que demandam atenção médica no sistema.</w:t>
      </w:r>
    </w:p>
    <w:p w14:paraId="37B74361" w14:textId="77777777" w:rsidR="00486FB7" w:rsidRPr="00024756" w:rsidRDefault="00D96BA2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 xml:space="preserve">Em um </w:t>
      </w:r>
      <w:r w:rsidR="00486FB7" w:rsidRPr="00024756">
        <w:rPr>
          <w:rFonts w:cs="Arial"/>
          <w:sz w:val="22"/>
        </w:rPr>
        <w:t>capítulo do estudo, apresenta</w:t>
      </w:r>
      <w:r w:rsidRPr="00024756">
        <w:rPr>
          <w:rFonts w:cs="Arial"/>
          <w:sz w:val="22"/>
        </w:rPr>
        <w:t>-se uma análise sobre os</w:t>
      </w:r>
      <w:r w:rsidR="00486FB7" w:rsidRPr="00024756">
        <w:rPr>
          <w:rFonts w:cs="Arial"/>
          <w:sz w:val="22"/>
        </w:rPr>
        <w:t xml:space="preserve"> atendimentos em 2014,</w:t>
      </w:r>
      <w:r w:rsidRPr="00024756">
        <w:rPr>
          <w:rFonts w:cs="Arial"/>
          <w:sz w:val="22"/>
        </w:rPr>
        <w:t xml:space="preserve"> </w:t>
      </w:r>
      <w:r w:rsidR="00486FB7" w:rsidRPr="00024756">
        <w:rPr>
          <w:rFonts w:cs="Arial"/>
          <w:sz w:val="22"/>
        </w:rPr>
        <w:t>por UF, idade</w:t>
      </w:r>
      <w:r w:rsidRPr="00024756">
        <w:rPr>
          <w:rFonts w:cs="Arial"/>
          <w:sz w:val="22"/>
        </w:rPr>
        <w:t xml:space="preserve"> da vítima</w:t>
      </w:r>
      <w:r w:rsidR="00486FB7" w:rsidRPr="00024756">
        <w:rPr>
          <w:rFonts w:cs="Arial"/>
          <w:sz w:val="22"/>
        </w:rPr>
        <w:t>, agressores, tipos de violência, local da agressão, reincidências e encaminhamentos</w:t>
      </w:r>
      <w:r w:rsidRPr="00024756">
        <w:rPr>
          <w:rFonts w:cs="Arial"/>
          <w:sz w:val="22"/>
        </w:rPr>
        <w:t xml:space="preserve"> realizados</w:t>
      </w:r>
      <w:r w:rsidR="00486FB7" w:rsidRPr="00024756">
        <w:rPr>
          <w:rFonts w:cs="Arial"/>
          <w:sz w:val="22"/>
        </w:rPr>
        <w:t>.</w:t>
      </w:r>
    </w:p>
    <w:p w14:paraId="0CA0AD6B" w14:textId="77777777" w:rsidR="00486FB7" w:rsidRPr="00024756" w:rsidRDefault="00486FB7" w:rsidP="00024756">
      <w:pPr>
        <w:spacing w:after="0"/>
        <w:rPr>
          <w:rFonts w:cs="Arial"/>
          <w:sz w:val="22"/>
        </w:rPr>
      </w:pPr>
    </w:p>
    <w:p w14:paraId="3AD5D8CE" w14:textId="77777777" w:rsidR="00CE28D3" w:rsidRDefault="00CE28D3" w:rsidP="00024756">
      <w:pPr>
        <w:spacing w:after="0"/>
        <w:rPr>
          <w:rFonts w:cs="Arial"/>
          <w:b/>
          <w:sz w:val="22"/>
        </w:rPr>
      </w:pPr>
    </w:p>
    <w:p w14:paraId="07410155" w14:textId="77777777" w:rsidR="00B312A4" w:rsidRDefault="00B312A4" w:rsidP="00024756">
      <w:pPr>
        <w:spacing w:after="0"/>
        <w:rPr>
          <w:rFonts w:cs="Arial"/>
          <w:b/>
          <w:sz w:val="22"/>
        </w:rPr>
      </w:pPr>
    </w:p>
    <w:p w14:paraId="63DCC9D5" w14:textId="77777777" w:rsidR="00B312A4" w:rsidRDefault="00B312A4" w:rsidP="00024756">
      <w:pPr>
        <w:spacing w:after="0"/>
        <w:rPr>
          <w:rFonts w:cs="Arial"/>
          <w:b/>
          <w:sz w:val="22"/>
        </w:rPr>
      </w:pPr>
    </w:p>
    <w:p w14:paraId="2837D3CF" w14:textId="77777777" w:rsidR="00B312A4" w:rsidRDefault="00B312A4" w:rsidP="00024756">
      <w:pPr>
        <w:spacing w:after="0"/>
        <w:rPr>
          <w:rFonts w:cs="Arial"/>
          <w:b/>
          <w:sz w:val="22"/>
        </w:rPr>
      </w:pPr>
    </w:p>
    <w:p w14:paraId="0B2998CC" w14:textId="77777777" w:rsidR="00486FB7" w:rsidRPr="00024756" w:rsidRDefault="00486FB7" w:rsidP="00024756">
      <w:pPr>
        <w:spacing w:after="0"/>
        <w:rPr>
          <w:rFonts w:cs="Arial"/>
          <w:sz w:val="22"/>
        </w:rPr>
      </w:pPr>
      <w:r w:rsidRPr="00024756">
        <w:rPr>
          <w:rFonts w:cs="Arial"/>
          <w:b/>
          <w:sz w:val="22"/>
        </w:rPr>
        <w:t>PESQUISA NACIONAL DE SAÚDE (PNS)</w:t>
      </w:r>
    </w:p>
    <w:p w14:paraId="55D7830E" w14:textId="77777777" w:rsidR="00486FB7" w:rsidRPr="00024756" w:rsidRDefault="00486FB7" w:rsidP="00024756">
      <w:pPr>
        <w:spacing w:after="0"/>
        <w:rPr>
          <w:rFonts w:cs="Arial"/>
          <w:sz w:val="22"/>
        </w:rPr>
      </w:pPr>
    </w:p>
    <w:p w14:paraId="66BC17AA" w14:textId="6BDF9BDD" w:rsidR="00486FB7" w:rsidRPr="00024756" w:rsidRDefault="00486FB7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A Pesquisa Nacional de Saúde (PNS) é uma pesquisa de base domiciliar, de âmbito nacional, resultado de uma parceria entre o Ministério da Saúde (MS) e o Instituto Brasileiro de Geografia e Estatística (IBGE). A partir dos dados fornecidos pela PNS</w:t>
      </w:r>
      <w:r w:rsidR="00D96BA2" w:rsidRPr="00024756">
        <w:rPr>
          <w:rFonts w:cs="Arial"/>
          <w:sz w:val="22"/>
        </w:rPr>
        <w:t xml:space="preserve"> conferimos</w:t>
      </w:r>
      <w:r w:rsidRPr="00024756">
        <w:rPr>
          <w:rFonts w:cs="Arial"/>
          <w:sz w:val="22"/>
        </w:rPr>
        <w:t>:</w:t>
      </w:r>
    </w:p>
    <w:p w14:paraId="58E4BE55" w14:textId="77777777" w:rsidR="00486FB7" w:rsidRPr="00024756" w:rsidRDefault="00486FB7" w:rsidP="00024756">
      <w:pPr>
        <w:spacing w:after="0"/>
        <w:rPr>
          <w:rFonts w:cs="Arial"/>
          <w:sz w:val="22"/>
        </w:rPr>
      </w:pPr>
    </w:p>
    <w:p w14:paraId="5A669A18" w14:textId="77777777" w:rsidR="00486FB7" w:rsidRPr="00024756" w:rsidRDefault="00D96BA2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 xml:space="preserve">- </w:t>
      </w:r>
      <w:r w:rsidR="00486FB7" w:rsidRPr="00024756">
        <w:rPr>
          <w:rFonts w:cs="Arial"/>
          <w:sz w:val="22"/>
        </w:rPr>
        <w:t>um total de 3,7 milhões de pessoas, com 18 anos ou mais, sofreram agressão de alguém conhecido. Isso representa 2,5% da população nessa faixa etária. Mas o número de vítimas do sexo feminino, 2,4 milhões, quase duplica os quantitativos masculinos: 1,3 milhão. Assim, 1,8% do universo masculino do País, contra 3,1% do feminino, foram vítimas de agressão por alguém conhecido;</w:t>
      </w:r>
    </w:p>
    <w:p w14:paraId="2D32750B" w14:textId="77777777" w:rsidR="00486FB7" w:rsidRPr="00024756" w:rsidRDefault="00486FB7" w:rsidP="00024756">
      <w:pPr>
        <w:spacing w:after="0"/>
        <w:rPr>
          <w:rFonts w:cs="Arial"/>
          <w:sz w:val="22"/>
        </w:rPr>
      </w:pPr>
    </w:p>
    <w:p w14:paraId="03C0F72C" w14:textId="77777777" w:rsidR="00486FB7" w:rsidRPr="00024756" w:rsidRDefault="00486FB7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- Amapá, Sergipe e Rio Grande do Norte destacam-se por evidenciar as maiores taxas de agressão ao sexo masculino. Rio Grande do Norte, Paraná e Pará, pelas maiores taxas do sexo feminino.</w:t>
      </w:r>
    </w:p>
    <w:p w14:paraId="1CD71419" w14:textId="77777777" w:rsidR="00AA0B2B" w:rsidRPr="00024756" w:rsidRDefault="00AA0B2B" w:rsidP="00024756">
      <w:pPr>
        <w:spacing w:after="0"/>
        <w:rPr>
          <w:rFonts w:cs="Arial"/>
          <w:sz w:val="22"/>
        </w:rPr>
      </w:pPr>
    </w:p>
    <w:p w14:paraId="022AD701" w14:textId="77777777" w:rsidR="00AA0B2B" w:rsidRPr="00024756" w:rsidRDefault="00AA0B2B" w:rsidP="00024756">
      <w:pPr>
        <w:spacing w:after="0"/>
        <w:rPr>
          <w:rFonts w:cs="Arial"/>
          <w:b/>
          <w:sz w:val="22"/>
        </w:rPr>
      </w:pPr>
      <w:r w:rsidRPr="00024756">
        <w:rPr>
          <w:rFonts w:cs="Arial"/>
          <w:b/>
          <w:sz w:val="22"/>
        </w:rPr>
        <w:t>ESTIMATIVAS DE FEMINICÍDIO NO BRASIL</w:t>
      </w:r>
    </w:p>
    <w:p w14:paraId="7C6B6252" w14:textId="77777777" w:rsidR="00024756" w:rsidRPr="00024756" w:rsidRDefault="00024756" w:rsidP="00024756">
      <w:pPr>
        <w:spacing w:after="0"/>
        <w:rPr>
          <w:rFonts w:cs="Arial"/>
          <w:sz w:val="22"/>
        </w:rPr>
      </w:pPr>
    </w:p>
    <w:p w14:paraId="408705A0" w14:textId="3EA7D980" w:rsidR="00AA0B2B" w:rsidRPr="00024756" w:rsidRDefault="00AA0B2B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O estudo também realiza uma estimativa dos feminicídios que aconteceram no pais no ano de 2013, nos termos da recente Lei 13.104/2015, em março de 2015, a Lei do Feminicídio:</w:t>
      </w:r>
    </w:p>
    <w:p w14:paraId="484FEB20" w14:textId="77777777" w:rsidR="00024756" w:rsidRPr="00024756" w:rsidRDefault="00024756" w:rsidP="00024756">
      <w:pPr>
        <w:spacing w:after="0"/>
        <w:rPr>
          <w:rFonts w:cs="Arial"/>
          <w:sz w:val="22"/>
        </w:rPr>
      </w:pPr>
    </w:p>
    <w:p w14:paraId="16EF90D0" w14:textId="7E8239BD" w:rsidR="00AA0B2B" w:rsidRPr="00024756" w:rsidRDefault="00024756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>- d</w:t>
      </w:r>
      <w:r w:rsidR="00AA0B2B" w:rsidRPr="00024756">
        <w:rPr>
          <w:rFonts w:cs="Arial"/>
          <w:sz w:val="22"/>
        </w:rPr>
        <w:t>os 4.762 homicídios de mulheres registrados em 2013, 2.394, isso é, 50,3% do total foram perpetrados por um familiar da vítima, o que representa perto de 7 feminicídios diários nesse ano</w:t>
      </w:r>
      <w:r w:rsidRPr="00024756">
        <w:rPr>
          <w:rFonts w:cs="Arial"/>
          <w:sz w:val="22"/>
        </w:rPr>
        <w:t>;</w:t>
      </w:r>
    </w:p>
    <w:p w14:paraId="0EFC4225" w14:textId="77777777" w:rsidR="00024756" w:rsidRPr="00024756" w:rsidRDefault="00024756" w:rsidP="00024756">
      <w:pPr>
        <w:spacing w:after="0"/>
        <w:rPr>
          <w:rFonts w:cs="Arial"/>
          <w:sz w:val="22"/>
        </w:rPr>
      </w:pPr>
    </w:p>
    <w:p w14:paraId="7F934331" w14:textId="7B65A042" w:rsidR="00AA0B2B" w:rsidRPr="00024756" w:rsidRDefault="00024756" w:rsidP="00024756">
      <w:pPr>
        <w:spacing w:after="0"/>
        <w:rPr>
          <w:rFonts w:cs="Arial"/>
          <w:sz w:val="22"/>
        </w:rPr>
      </w:pPr>
      <w:r w:rsidRPr="00024756">
        <w:rPr>
          <w:rFonts w:cs="Arial"/>
          <w:sz w:val="22"/>
        </w:rPr>
        <w:t xml:space="preserve">- </w:t>
      </w:r>
      <w:r w:rsidR="00AA0B2B" w:rsidRPr="00024756">
        <w:rPr>
          <w:rFonts w:cs="Arial"/>
          <w:sz w:val="22"/>
        </w:rPr>
        <w:t>1.583 dessas mulheres foram mortas pelo parceiro ou ex-parceiro, o que representa 33,2% do total de homicídios femininos nesse ano. Nesse caso, as mortes diárias foram 4.</w:t>
      </w:r>
    </w:p>
    <w:p w14:paraId="44BA76CD" w14:textId="77777777" w:rsidR="00024756" w:rsidRDefault="00024756" w:rsidP="00024756">
      <w:pPr>
        <w:spacing w:before="240" w:after="0"/>
        <w:rPr>
          <w:rFonts w:eastAsia="Times New Roman" w:cs="Arial"/>
          <w:b/>
          <w:bCs/>
          <w:sz w:val="22"/>
          <w:lang w:eastAsia="pt-BR"/>
        </w:rPr>
      </w:pPr>
    </w:p>
    <w:p w14:paraId="54922263" w14:textId="04C20EBF" w:rsidR="00066105" w:rsidRPr="00024756" w:rsidRDefault="00066105" w:rsidP="00024756">
      <w:pPr>
        <w:spacing w:before="240" w:after="0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lang w:eastAsia="pt-BR"/>
        </w:rPr>
        <w:t>Lançamento - Mapa da Violência 2015 | Homicídio de mulheres no Brasil</w:t>
      </w:r>
    </w:p>
    <w:p w14:paraId="053E1D37" w14:textId="77777777" w:rsidR="00066105" w:rsidRPr="00024756" w:rsidRDefault="00066105" w:rsidP="00024756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Julio Jacobo Waiselfisz</w:t>
      </w:r>
      <w:r w:rsidR="009D3F11" w:rsidRPr="00024756">
        <w:rPr>
          <w:rFonts w:eastAsia="Times New Roman" w:cs="Arial"/>
          <w:sz w:val="22"/>
          <w:lang w:eastAsia="pt-BR"/>
        </w:rPr>
        <w:t xml:space="preserve"> (Flacso)</w:t>
      </w:r>
      <w:r w:rsidRPr="00024756">
        <w:rPr>
          <w:rFonts w:eastAsia="Times New Roman" w:cs="Arial"/>
          <w:sz w:val="22"/>
          <w:lang w:eastAsia="pt-BR"/>
        </w:rPr>
        <w:t xml:space="preserve"> </w:t>
      </w:r>
    </w:p>
    <w:p w14:paraId="6554D472" w14:textId="77777777" w:rsidR="002774FB" w:rsidRDefault="002774FB" w:rsidP="00024756">
      <w:pPr>
        <w:shd w:val="clear" w:color="auto" w:fill="FFFFFF"/>
        <w:spacing w:after="0" w:line="276" w:lineRule="auto"/>
        <w:rPr>
          <w:rFonts w:eastAsia="Times New Roman" w:cs="Arial"/>
          <w:color w:val="222222"/>
          <w:sz w:val="22"/>
          <w:lang w:eastAsia="pt-BR"/>
        </w:rPr>
      </w:pPr>
    </w:p>
    <w:p w14:paraId="3AF37403" w14:textId="77777777" w:rsidR="00066105" w:rsidRPr="00024756" w:rsidRDefault="00AA0B2B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color w:val="222222"/>
          <w:sz w:val="22"/>
          <w:lang w:eastAsia="pt-BR"/>
        </w:rPr>
        <w:t xml:space="preserve">Dia 9/11/2015. </w:t>
      </w:r>
      <w:r w:rsidR="00066105" w:rsidRPr="00024756">
        <w:rPr>
          <w:rFonts w:eastAsia="Times New Roman" w:cs="Arial"/>
          <w:sz w:val="22"/>
          <w:lang w:eastAsia="pt-BR"/>
        </w:rPr>
        <w:t>10 horas</w:t>
      </w:r>
    </w:p>
    <w:p w14:paraId="28B6774D" w14:textId="358FBF69" w:rsidR="00AA0B2B" w:rsidRPr="00024756" w:rsidRDefault="00066105" w:rsidP="00024756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Casa da ONU – Co</w:t>
      </w:r>
      <w:r w:rsidR="00AA0B2B" w:rsidRPr="00024756">
        <w:rPr>
          <w:rFonts w:eastAsia="Times New Roman" w:cs="Arial"/>
          <w:sz w:val="22"/>
          <w:lang w:eastAsia="pt-BR"/>
        </w:rPr>
        <w:t>mplexo Sérgio Vieira de Mello</w:t>
      </w:r>
      <w:r w:rsidR="002774FB">
        <w:rPr>
          <w:rFonts w:eastAsia="Times New Roman" w:cs="Arial"/>
          <w:sz w:val="22"/>
          <w:lang w:eastAsia="pt-BR"/>
        </w:rPr>
        <w:t xml:space="preserve"> – Sala LCC</w:t>
      </w:r>
      <w:r w:rsidR="00AA0B2B" w:rsidRPr="00024756">
        <w:rPr>
          <w:rFonts w:eastAsia="Times New Roman" w:cs="Arial"/>
          <w:sz w:val="22"/>
          <w:lang w:eastAsia="pt-BR"/>
        </w:rPr>
        <w:t xml:space="preserve"> </w:t>
      </w:r>
    </w:p>
    <w:p w14:paraId="7B0B8123" w14:textId="77777777" w:rsidR="00066105" w:rsidRPr="00024756" w:rsidRDefault="00066105" w:rsidP="00024756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Setor de Embaixadas Norte – Quadra 802 </w:t>
      </w:r>
    </w:p>
    <w:p w14:paraId="03661674" w14:textId="77777777" w:rsidR="00066105" w:rsidRPr="00024756" w:rsidRDefault="00066105" w:rsidP="00024756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Lote 17 CEP: 70800-400 </w:t>
      </w:r>
    </w:p>
    <w:p w14:paraId="7E7801A1" w14:textId="77777777" w:rsidR="00066105" w:rsidRPr="00024756" w:rsidRDefault="00066105" w:rsidP="00024756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Brasília-DF</w:t>
      </w:r>
    </w:p>
    <w:p w14:paraId="5CE3851B" w14:textId="77777777" w:rsidR="00AA0B2B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 </w:t>
      </w:r>
    </w:p>
    <w:p w14:paraId="1F765452" w14:textId="77777777" w:rsidR="00066105" w:rsidRPr="00024756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color w:val="222222"/>
          <w:sz w:val="22"/>
          <w:lang w:eastAsia="pt-BR"/>
        </w:rPr>
        <w:t xml:space="preserve">Coletiva de imprensa após o lançamento. </w:t>
      </w:r>
    </w:p>
    <w:p w14:paraId="198D9CC4" w14:textId="77777777" w:rsidR="00AA0B2B" w:rsidRPr="00024756" w:rsidRDefault="00AA0B2B" w:rsidP="00024756">
      <w:pPr>
        <w:shd w:val="clear" w:color="auto" w:fill="FFFFFF"/>
        <w:spacing w:after="0" w:line="276" w:lineRule="auto"/>
        <w:rPr>
          <w:rFonts w:eastAsia="Times New Roman" w:cs="Arial"/>
          <w:color w:val="222222"/>
          <w:sz w:val="22"/>
          <w:lang w:eastAsia="pt-BR"/>
        </w:rPr>
      </w:pPr>
    </w:p>
    <w:p w14:paraId="68C3CFE9" w14:textId="77777777" w:rsidR="00066105" w:rsidRPr="00024756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 xml:space="preserve">O </w:t>
      </w:r>
      <w:r w:rsidRPr="00024756">
        <w:rPr>
          <w:rFonts w:eastAsia="Times New Roman" w:cs="Arial"/>
          <w:i/>
          <w:iCs/>
          <w:sz w:val="22"/>
          <w:lang w:eastAsia="pt-BR"/>
        </w:rPr>
        <w:t>Mapa da Violência 2015 | Homicídio de mulheres no Brasil</w:t>
      </w:r>
      <w:r w:rsidRPr="00024756">
        <w:rPr>
          <w:rFonts w:eastAsia="Times New Roman" w:cs="Arial"/>
          <w:sz w:val="22"/>
          <w:lang w:eastAsia="pt-BR"/>
        </w:rPr>
        <w:t xml:space="preserve"> será disponibilizado dia 9/11/2012 no site </w:t>
      </w:r>
      <w:hyperlink r:id="rId6" w:tgtFrame="_blank" w:history="1">
        <w:r w:rsidRPr="00024756">
          <w:rPr>
            <w:rFonts w:eastAsia="Times New Roman" w:cs="Arial"/>
            <w:color w:val="0000FF"/>
            <w:sz w:val="22"/>
            <w:u w:val="single"/>
            <w:lang w:eastAsia="pt-BR"/>
          </w:rPr>
          <w:t>www.mapadaviolencia.org.br</w:t>
        </w:r>
      </w:hyperlink>
      <w:r w:rsidRPr="00024756">
        <w:rPr>
          <w:rFonts w:eastAsia="Times New Roman" w:cs="Arial"/>
          <w:sz w:val="22"/>
          <w:lang w:eastAsia="pt-BR"/>
        </w:rPr>
        <w:t>.</w:t>
      </w:r>
    </w:p>
    <w:p w14:paraId="3B0C0D23" w14:textId="77777777" w:rsidR="009D3F11" w:rsidRPr="00024756" w:rsidRDefault="009D3F11" w:rsidP="00024756">
      <w:pPr>
        <w:shd w:val="clear" w:color="auto" w:fill="FFFFFF"/>
        <w:spacing w:after="0" w:line="276" w:lineRule="auto"/>
        <w:rPr>
          <w:rFonts w:eastAsia="Times New Roman" w:cs="Arial"/>
          <w:b/>
          <w:bCs/>
          <w:sz w:val="22"/>
          <w:u w:val="single"/>
          <w:lang w:eastAsia="pt-BR"/>
        </w:rPr>
      </w:pPr>
    </w:p>
    <w:p w14:paraId="5860DC58" w14:textId="7EC81815" w:rsidR="00066105" w:rsidRPr="00024756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b/>
          <w:bCs/>
          <w:sz w:val="22"/>
          <w:u w:val="single"/>
          <w:lang w:eastAsia="pt-BR"/>
        </w:rPr>
        <w:t xml:space="preserve">Mais informações </w:t>
      </w:r>
    </w:p>
    <w:p w14:paraId="32F5DA7D" w14:textId="77777777" w:rsidR="001E24F0" w:rsidRDefault="001E24F0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</w:p>
    <w:p w14:paraId="16F1F3A3" w14:textId="77777777" w:rsidR="00066105" w:rsidRPr="00024756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eastAsia="pt-BR"/>
        </w:rPr>
      </w:pPr>
      <w:r w:rsidRPr="00024756">
        <w:rPr>
          <w:rFonts w:eastAsia="Times New Roman" w:cs="Arial"/>
          <w:sz w:val="22"/>
          <w:lang w:eastAsia="pt-BR"/>
        </w:rPr>
        <w:t>Faculdade Latino Americana de Ciências Sociais – Flacso Brasil</w:t>
      </w:r>
    </w:p>
    <w:p w14:paraId="5B1C7B9F" w14:textId="0A2E4DF6" w:rsidR="00066105" w:rsidRPr="005A223E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val="en-US" w:eastAsia="pt-BR"/>
        </w:rPr>
      </w:pPr>
      <w:r w:rsidRPr="005A223E">
        <w:rPr>
          <w:rFonts w:eastAsia="Times New Roman" w:cs="Arial"/>
          <w:color w:val="0000FF"/>
          <w:sz w:val="22"/>
          <w:u w:val="single"/>
          <w:lang w:val="en-US" w:eastAsia="pt-BR"/>
        </w:rPr>
        <w:t>(</w:t>
      </w:r>
      <w:r w:rsidRPr="005A223E">
        <w:rPr>
          <w:rFonts w:eastAsia="Times New Roman" w:cs="Arial"/>
          <w:sz w:val="22"/>
          <w:u w:val="single"/>
          <w:lang w:val="en-US" w:eastAsia="pt-BR"/>
        </w:rPr>
        <w:t>21) 2234-1896</w:t>
      </w:r>
      <w:r w:rsidRPr="005A223E">
        <w:rPr>
          <w:rFonts w:eastAsia="Times New Roman" w:cs="Arial"/>
          <w:sz w:val="22"/>
          <w:lang w:val="en-US" w:eastAsia="pt-BR"/>
        </w:rPr>
        <w:t xml:space="preserve"> | </w:t>
      </w:r>
      <w:r w:rsidRPr="005A223E">
        <w:rPr>
          <w:rFonts w:eastAsia="Times New Roman" w:cs="Arial"/>
          <w:sz w:val="22"/>
          <w:u w:val="single"/>
          <w:lang w:val="en-US" w:eastAsia="pt-BR"/>
        </w:rPr>
        <w:t>(21) 2334-0890</w:t>
      </w:r>
    </w:p>
    <w:p w14:paraId="6EBF6092" w14:textId="34A9CEAD" w:rsidR="00066105" w:rsidRPr="005A223E" w:rsidRDefault="00066105" w:rsidP="00024756">
      <w:pPr>
        <w:shd w:val="clear" w:color="auto" w:fill="FFFFFF"/>
        <w:spacing w:after="0" w:line="276" w:lineRule="auto"/>
        <w:rPr>
          <w:rFonts w:eastAsia="Times New Roman" w:cs="Arial"/>
          <w:sz w:val="22"/>
          <w:lang w:val="en-US" w:eastAsia="pt-BR"/>
        </w:rPr>
      </w:pPr>
      <w:r w:rsidRPr="005A223E">
        <w:rPr>
          <w:rFonts w:eastAsia="Times New Roman" w:cs="Arial"/>
          <w:sz w:val="22"/>
          <w:lang w:val="en-US" w:eastAsia="pt-BR"/>
        </w:rPr>
        <w:t>Margareth Doher - (21) 9 9565-7810</w:t>
      </w:r>
      <w:r w:rsidR="002774FB" w:rsidRPr="005A223E">
        <w:rPr>
          <w:rFonts w:eastAsia="Times New Roman" w:cs="Arial"/>
          <w:sz w:val="22"/>
          <w:lang w:val="en-US" w:eastAsia="pt-BR"/>
        </w:rPr>
        <w:t xml:space="preserve"> “margarethdoher@flacso.org.br”</w:t>
      </w:r>
      <w:r w:rsidRPr="005A223E">
        <w:rPr>
          <w:rFonts w:eastAsia="Times New Roman" w:cs="Arial"/>
          <w:sz w:val="22"/>
          <w:lang w:val="en-US" w:eastAsia="pt-BR"/>
        </w:rPr>
        <w:t xml:space="preserve"> </w:t>
      </w:r>
    </w:p>
    <w:p w14:paraId="3EE8AAC3" w14:textId="77777777" w:rsidR="00AA0B2B" w:rsidRPr="005A223E" w:rsidRDefault="00AA0B2B" w:rsidP="00024756">
      <w:pPr>
        <w:spacing w:after="0" w:line="276" w:lineRule="auto"/>
        <w:rPr>
          <w:rFonts w:eastAsia="Times New Roman" w:cs="Arial"/>
          <w:sz w:val="22"/>
          <w:lang w:val="en-US" w:eastAsia="pt-BR"/>
        </w:rPr>
      </w:pPr>
    </w:p>
    <w:p w14:paraId="7EEBE010" w14:textId="62359C5C" w:rsidR="00066105" w:rsidRPr="002774FB" w:rsidRDefault="00066105" w:rsidP="00024756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Organização Pan-Americana da Saúde</w:t>
      </w:r>
      <w:r w:rsidR="001E24F0" w:rsidRPr="002774FB">
        <w:rPr>
          <w:rFonts w:eastAsia="Times New Roman" w:cs="Arial"/>
          <w:sz w:val="22"/>
          <w:lang w:eastAsia="pt-BR"/>
        </w:rPr>
        <w:t>/</w:t>
      </w:r>
      <w:r w:rsidRPr="002774FB">
        <w:rPr>
          <w:rFonts w:eastAsia="Times New Roman" w:cs="Arial"/>
          <w:sz w:val="22"/>
          <w:lang w:eastAsia="pt-BR"/>
        </w:rPr>
        <w:t>Organização Mundial da Saúde (OPAS/OMS)</w:t>
      </w:r>
    </w:p>
    <w:p w14:paraId="76122604" w14:textId="77777777" w:rsidR="000F31ED" w:rsidRPr="002774FB" w:rsidRDefault="000F31ED" w:rsidP="000F31ED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Luís Felipe Sardenberg</w:t>
      </w:r>
    </w:p>
    <w:p w14:paraId="39FFD53A" w14:textId="43AF7846" w:rsidR="00066105" w:rsidRDefault="00157985" w:rsidP="00024756">
      <w:pPr>
        <w:spacing w:after="0" w:line="276" w:lineRule="auto"/>
        <w:rPr>
          <w:rFonts w:eastAsia="Times New Roman" w:cs="Arial"/>
          <w:sz w:val="22"/>
          <w:u w:val="single"/>
          <w:lang w:eastAsia="pt-BR"/>
        </w:rPr>
      </w:pPr>
      <w:hyperlink r:id="rId7" w:tgtFrame="_blank" w:history="1">
        <w:r w:rsidR="00066105" w:rsidRPr="002774FB">
          <w:rPr>
            <w:rFonts w:eastAsia="Times New Roman" w:cs="Arial"/>
            <w:sz w:val="22"/>
            <w:u w:val="single"/>
            <w:lang w:eastAsia="pt-BR"/>
          </w:rPr>
          <w:t>(61) 3251-9581</w:t>
        </w:r>
      </w:hyperlink>
      <w:r w:rsidR="000F31ED">
        <w:rPr>
          <w:rFonts w:eastAsia="Times New Roman" w:cs="Arial"/>
          <w:sz w:val="22"/>
          <w:u w:val="single"/>
          <w:lang w:eastAsia="pt-BR"/>
        </w:rPr>
        <w:t>. “</w:t>
      </w:r>
      <w:r w:rsidR="000F31ED" w:rsidRPr="000F31ED">
        <w:rPr>
          <w:rFonts w:ascii="Calibri" w:hAnsi="Calibri"/>
        </w:rPr>
        <w:t>comunicacaoopasbrasil@paho.org</w:t>
      </w:r>
      <w:r w:rsidR="000F31ED">
        <w:rPr>
          <w:rFonts w:ascii="Calibri" w:hAnsi="Calibri"/>
        </w:rPr>
        <w:t>”</w:t>
      </w:r>
    </w:p>
    <w:p w14:paraId="26A3DF06" w14:textId="77777777" w:rsidR="00066105" w:rsidRPr="002774FB" w:rsidRDefault="00066105" w:rsidP="00024756">
      <w:pPr>
        <w:spacing w:after="0" w:line="276" w:lineRule="auto"/>
        <w:rPr>
          <w:rFonts w:eastAsia="Times New Roman" w:cs="Arial"/>
          <w:b/>
          <w:bCs/>
          <w:szCs w:val="24"/>
          <w:lang w:eastAsia="pt-BR"/>
        </w:rPr>
      </w:pPr>
      <w:r w:rsidRPr="002774FB">
        <w:rPr>
          <w:rFonts w:eastAsia="Times New Roman" w:cs="Arial"/>
          <w:b/>
          <w:bCs/>
          <w:szCs w:val="24"/>
          <w:lang w:eastAsia="pt-BR"/>
        </w:rPr>
        <w:t> </w:t>
      </w:r>
    </w:p>
    <w:p w14:paraId="36D936B8" w14:textId="77777777" w:rsidR="005F54A4" w:rsidRPr="002774FB" w:rsidRDefault="005F54A4" w:rsidP="005F54A4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ONU Mulheres – Entidade das Nações Unidas para a Igualdade de Gênero e o Empoderamento das Mulheres</w:t>
      </w:r>
    </w:p>
    <w:p w14:paraId="2D22D175" w14:textId="77777777" w:rsidR="005F54A4" w:rsidRPr="002774FB" w:rsidRDefault="005F54A4" w:rsidP="005F54A4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(61) 3038 9140 | 8175 6315</w:t>
      </w:r>
    </w:p>
    <w:p w14:paraId="01D4F172" w14:textId="318187FB" w:rsidR="005F54A4" w:rsidRDefault="005F54A4" w:rsidP="005F54A4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Isabel Clavelin – Assessora de Comunicação</w:t>
      </w:r>
      <w:r w:rsidR="002774FB" w:rsidRPr="002774FB">
        <w:rPr>
          <w:rFonts w:eastAsia="Times New Roman" w:cs="Arial"/>
          <w:sz w:val="22"/>
          <w:lang w:eastAsia="pt-BR"/>
        </w:rPr>
        <w:t xml:space="preserve">. </w:t>
      </w:r>
      <w:r w:rsidR="002774FB">
        <w:rPr>
          <w:rFonts w:eastAsia="Times New Roman" w:cs="Arial"/>
          <w:sz w:val="22"/>
          <w:lang w:eastAsia="pt-BR"/>
        </w:rPr>
        <w:t>“</w:t>
      </w:r>
      <w:r w:rsidR="002774FB" w:rsidRPr="002774FB">
        <w:rPr>
          <w:rFonts w:eastAsia="Times New Roman" w:cs="Arial"/>
          <w:sz w:val="22"/>
          <w:lang w:eastAsia="pt-BR"/>
        </w:rPr>
        <w:t>isabel.clavelin@unwomen.org</w:t>
      </w:r>
      <w:r w:rsidR="002774FB">
        <w:rPr>
          <w:rFonts w:eastAsia="Times New Roman" w:cs="Arial"/>
          <w:sz w:val="22"/>
          <w:lang w:eastAsia="pt-BR"/>
        </w:rPr>
        <w:t>”</w:t>
      </w:r>
    </w:p>
    <w:p w14:paraId="1495514A" w14:textId="77777777" w:rsidR="002774FB" w:rsidRDefault="002774FB" w:rsidP="005F54A4">
      <w:pPr>
        <w:spacing w:after="0" w:line="276" w:lineRule="auto"/>
        <w:rPr>
          <w:rFonts w:eastAsia="Times New Roman" w:cs="Arial"/>
          <w:sz w:val="22"/>
          <w:lang w:eastAsia="pt-BR"/>
        </w:rPr>
      </w:pPr>
    </w:p>
    <w:p w14:paraId="145AAE63" w14:textId="77777777" w:rsidR="002774FB" w:rsidRPr="002774FB" w:rsidRDefault="002774FB" w:rsidP="002774FB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Secretaria Especial de Políticas para as Mulheres</w:t>
      </w:r>
    </w:p>
    <w:p w14:paraId="4B425688" w14:textId="77777777" w:rsidR="002774FB" w:rsidRPr="002774FB" w:rsidRDefault="002774FB" w:rsidP="002774FB">
      <w:pPr>
        <w:spacing w:after="0" w:line="276" w:lineRule="auto"/>
        <w:rPr>
          <w:rFonts w:eastAsia="Times New Roman" w:cs="Arial"/>
          <w:sz w:val="22"/>
          <w:lang w:eastAsia="pt-BR"/>
        </w:rPr>
      </w:pPr>
      <w:r w:rsidRPr="002774FB">
        <w:rPr>
          <w:rFonts w:eastAsia="Times New Roman" w:cs="Arial"/>
          <w:sz w:val="22"/>
          <w:lang w:eastAsia="pt-BR"/>
        </w:rPr>
        <w:t>Ministério das Mulheres, Igualdade Racial e Direitos Humanos</w:t>
      </w:r>
    </w:p>
    <w:p w14:paraId="1FAC357E" w14:textId="2D718520" w:rsidR="002774FB" w:rsidRPr="002774FB" w:rsidRDefault="002774FB" w:rsidP="002774FB">
      <w:pPr>
        <w:spacing w:after="0" w:line="276" w:lineRule="auto"/>
        <w:rPr>
          <w:rFonts w:eastAsia="Times New Roman" w:cs="Arial"/>
          <w:sz w:val="22"/>
          <w:lang w:eastAsia="pt-BR"/>
        </w:rPr>
      </w:pPr>
      <w:r>
        <w:rPr>
          <w:rFonts w:eastAsia="Times New Roman" w:cs="Arial"/>
          <w:sz w:val="22"/>
          <w:lang w:eastAsia="pt-BR"/>
        </w:rPr>
        <w:t>C</w:t>
      </w:r>
      <w:r w:rsidRPr="002774FB">
        <w:rPr>
          <w:rFonts w:eastAsia="Times New Roman" w:cs="Arial"/>
          <w:sz w:val="22"/>
          <w:lang w:eastAsia="pt-BR"/>
        </w:rPr>
        <w:t>leia Martins - Coordenadora de Imprensa</w:t>
      </w:r>
    </w:p>
    <w:p w14:paraId="7E1D1FEC" w14:textId="6CC03622" w:rsidR="002774FB" w:rsidRPr="002774FB" w:rsidRDefault="002774FB" w:rsidP="002774FB">
      <w:pPr>
        <w:spacing w:after="0" w:line="276" w:lineRule="auto"/>
        <w:rPr>
          <w:rFonts w:eastAsia="Times New Roman" w:cs="Arial"/>
          <w:sz w:val="22"/>
          <w:lang w:eastAsia="pt-BR"/>
        </w:rPr>
      </w:pPr>
      <w:r>
        <w:rPr>
          <w:rFonts w:eastAsia="Times New Roman" w:cs="Arial"/>
          <w:sz w:val="22"/>
          <w:lang w:eastAsia="pt-BR"/>
        </w:rPr>
        <w:t>(61) 3313-7074 | 9689-4378 “</w:t>
      </w:r>
      <w:r w:rsidRPr="002774FB">
        <w:rPr>
          <w:rFonts w:eastAsia="Times New Roman" w:cs="Arial"/>
          <w:sz w:val="22"/>
          <w:lang w:eastAsia="pt-BR"/>
        </w:rPr>
        <w:t>cleia.martins@spm.gov.br</w:t>
      </w:r>
      <w:r>
        <w:rPr>
          <w:rFonts w:eastAsia="Times New Roman" w:cs="Arial"/>
          <w:sz w:val="22"/>
          <w:lang w:eastAsia="pt-BR"/>
        </w:rPr>
        <w:t>”</w:t>
      </w:r>
    </w:p>
    <w:p w14:paraId="7C565F26" w14:textId="77777777" w:rsidR="002774FB" w:rsidRPr="002774FB" w:rsidRDefault="002774FB" w:rsidP="005F54A4">
      <w:pPr>
        <w:spacing w:after="0" w:line="276" w:lineRule="auto"/>
        <w:rPr>
          <w:rFonts w:eastAsia="Times New Roman" w:cs="Arial"/>
          <w:sz w:val="22"/>
          <w:lang w:eastAsia="pt-BR"/>
        </w:rPr>
      </w:pPr>
    </w:p>
    <w:p w14:paraId="77AFB18F" w14:textId="77777777" w:rsidR="008C6EAF" w:rsidRPr="002774FB" w:rsidRDefault="00157985" w:rsidP="00024756">
      <w:pPr>
        <w:spacing w:after="0" w:line="276" w:lineRule="auto"/>
        <w:rPr>
          <w:rFonts w:cs="Arial"/>
          <w:sz w:val="22"/>
        </w:rPr>
      </w:pPr>
    </w:p>
    <w:sectPr w:rsidR="008C6EAF" w:rsidRPr="002774FB" w:rsidSect="000247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372"/>
    <w:multiLevelType w:val="hybridMultilevel"/>
    <w:tmpl w:val="FB0E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05"/>
    <w:rsid w:val="00024756"/>
    <w:rsid w:val="00056894"/>
    <w:rsid w:val="00066105"/>
    <w:rsid w:val="000F31ED"/>
    <w:rsid w:val="00157985"/>
    <w:rsid w:val="00161714"/>
    <w:rsid w:val="001D1CF6"/>
    <w:rsid w:val="001E24F0"/>
    <w:rsid w:val="002003D4"/>
    <w:rsid w:val="002774FB"/>
    <w:rsid w:val="00322934"/>
    <w:rsid w:val="00346135"/>
    <w:rsid w:val="004678FA"/>
    <w:rsid w:val="00473880"/>
    <w:rsid w:val="00486FB7"/>
    <w:rsid w:val="005541D9"/>
    <w:rsid w:val="005A223E"/>
    <w:rsid w:val="005F54A4"/>
    <w:rsid w:val="007269D2"/>
    <w:rsid w:val="007C4190"/>
    <w:rsid w:val="008405E3"/>
    <w:rsid w:val="008F5BA7"/>
    <w:rsid w:val="00953DED"/>
    <w:rsid w:val="00964104"/>
    <w:rsid w:val="00983D29"/>
    <w:rsid w:val="009D3F11"/>
    <w:rsid w:val="00A9700B"/>
    <w:rsid w:val="00AA0B2B"/>
    <w:rsid w:val="00B312A4"/>
    <w:rsid w:val="00C52989"/>
    <w:rsid w:val="00CE28D3"/>
    <w:rsid w:val="00D96BA2"/>
    <w:rsid w:val="00E329CD"/>
    <w:rsid w:val="00EF5573"/>
    <w:rsid w:val="00F66DE1"/>
    <w:rsid w:val="00FC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2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julio"/>
    <w:qFormat/>
    <w:rsid w:val="007C4190"/>
    <w:pPr>
      <w:spacing w:after="4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10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F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F1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40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05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05E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05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05E3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A0B2B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julio"/>
    <w:qFormat/>
    <w:rsid w:val="007C4190"/>
    <w:pPr>
      <w:spacing w:after="4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10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F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F1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40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05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05E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05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05E3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A0B2B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l:%2861%29%203251-9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padaviolencia.org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2162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Waiselfisz</dc:creator>
  <cp:lastModifiedBy>Patrícia Galvão</cp:lastModifiedBy>
  <cp:revision>2</cp:revision>
  <cp:lastPrinted>2015-11-03T16:56:00Z</cp:lastPrinted>
  <dcterms:created xsi:type="dcterms:W3CDTF">2015-11-09T20:30:00Z</dcterms:created>
  <dcterms:modified xsi:type="dcterms:W3CDTF">2015-11-09T20:30:00Z</dcterms:modified>
</cp:coreProperties>
</file>