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017"/>
        <w:rPr>
          <w:sz w:val="24"/>
          <w:szCs w:val="24"/>
        </w:rPr>
      </w:pPr>
    </w:p>
    <w:p>
      <w:pPr>
        <w:tabs>
          <w:tab w:val="left" w:pos="2193"/>
          <w:tab w:val="left" w:pos="7502"/>
        </w:tabs>
        <w:spacing w:before="148" w:after="0" w:line="207" w:lineRule="exact"/>
        <w:ind w:left="1017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28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[CHAP. 3</w:t>
      </w:r>
    </w:p>
    <w:p>
      <w:pPr>
        <w:spacing w:before="0" w:after="0" w:line="203" w:lineRule="exact"/>
        <w:ind w:left="1003"/>
        <w:rPr>
          <w:sz w:val="24"/>
          <w:szCs w:val="24"/>
        </w:rPr>
      </w:pPr>
    </w:p>
    <w:p>
      <w:pPr>
        <w:spacing w:before="67" w:after="0" w:line="203" w:lineRule="exact"/>
        <w:ind w:left="1003" w:right="1348" w:firstLine="14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to enter into the sphere of profession for which she is eligible and qualified, it is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well-nigh impossible to conceive of equality. It also clips her capacity to earn her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livelihood which affects her individual dignity. In the case of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6"/>
          <w:szCs w:val="16"/>
        </w:rPr>
        <w:t xml:space="preserve">"Vishaka v State of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Rajasthan",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AIR 1997 SC 3011 the Supreme Court referred to the Convention for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Elimination  of all  forms  of Discrimination Against Women,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1979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(for short,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"CEDAW") which was ratified by the Government of India in 1993 and framed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certain guidelines regard being had to the sexual harassment at work places.</w:t>
      </w:r>
    </w:p>
    <w:p>
      <w:pPr>
        <w:spacing w:before="93" w:after="0" w:line="184" w:lineRule="exact"/>
        <w:ind w:left="1377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Self-determination of identity has been held to be an essential facet of Article</w:t>
      </w:r>
    </w:p>
    <w:p>
      <w:pPr>
        <w:spacing w:before="23" w:after="0" w:line="200" w:lineRule="exact"/>
        <w:ind w:left="1012" w:right="1406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21. The Supreme Court while declaring the "Hijra/Transgender" as "third gender"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has held that:2'</w:t>
      </w:r>
    </w:p>
    <w:p>
      <w:pPr>
        <w:spacing w:before="89" w:after="0" w:line="190" w:lineRule="exact"/>
        <w:ind w:left="1372" w:right="1401" w:firstLine="383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(1) Hijras, Eunuchs, apart from binary gender, be treated as "third gender" for the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purpose of safeguarding their rights under Part III of our Constitution and the laws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made by the Parliament and the State Legislature, (2) Transgender persons' right to</w:t>
      </w:r>
    </w:p>
    <w:p>
      <w:pPr>
        <w:spacing w:before="10" w:after="0" w:line="190" w:lineRule="exact"/>
        <w:ind w:left="1372" w:right="1401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decide their self-identified gender is also upheld and the Centre and State Governments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are directed to grant legal recognition of their gender identity such as male, female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or as third gender,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(3) We direct the Centre and the State Governments to take steps</w:t>
      </w:r>
    </w:p>
    <w:p>
      <w:pPr>
        <w:spacing w:before="2" w:after="0" w:line="200" w:lineRule="exact"/>
        <w:ind w:left="1372" w:right="1391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to treat them as socially and educationally backward classes of citizens and extend all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kinds of reservation in cases of admission in educational institutions and for public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appointments, (4) Centre and State Governments are directed to operate separate HIV</w:t>
      </w:r>
    </w:p>
    <w:p>
      <w:pPr>
        <w:spacing w:before="1" w:after="0" w:line="175" w:lineRule="exact"/>
        <w:ind w:left="1372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Sero-surveillance Centres since Hijras/Transgenders face several sexual health issues,</w:t>
      </w:r>
    </w:p>
    <w:p>
      <w:pPr>
        <w:spacing w:before="33" w:after="0" w:line="190" w:lineRule="exact"/>
        <w:ind w:left="1368" w:right="1395" w:firstLine="19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(5) Centre and State Governments should seriously address the problems being faced by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Hijras/Transgenders such as fear, shame, gender dysphoria, social pressure, depression,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suicidal tendencies, social stigma, etc. and any insistence for SRS for declaring one's</w:t>
      </w:r>
    </w:p>
    <w:p>
      <w:pPr>
        <w:tabs>
          <w:tab w:val="left" w:pos="3878"/>
        </w:tabs>
        <w:spacing w:before="10" w:after="0" w:line="190" w:lineRule="exact"/>
        <w:ind w:left="1368" w:right="1400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gender is immoral and illegal,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(6) Centre and State Governments should take proper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measures to provide medical care to TGs in the hospitals and also provide them separate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public toilets and other facilities,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(7) Centre and State Governments should also take</w:t>
      </w:r>
    </w:p>
    <w:p>
      <w:pPr>
        <w:tabs>
          <w:tab w:val="left" w:pos="7046"/>
        </w:tabs>
        <w:spacing w:before="30" w:after="0" w:line="190" w:lineRule="exact"/>
        <w:ind w:left="1368" w:right="1395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steps for framing various social welfare schemes for their betterment,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(8) Centre and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State Governments should take steps to create public awareness so that TGs will feel that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they are also part and parcel of the social life and be not treated as untouchables, </w:t>
      </w:r>
      <w:r>
        <w:rPr>
          <w:rFonts w:ascii="Times New Roman" w:hAnsi="Times New Roman" w:cs="Times New Roman"/>
          <w:color w:val="000000"/>
          <w:spacing w:val="0"/>
          <w:w w:val="105"/>
          <w:sz w:val="16"/>
          <w:szCs w:val="16"/>
        </w:rPr>
        <w:t xml:space="preserve">(9)</w:t>
      </w:r>
    </w:p>
    <w:p>
      <w:pPr>
        <w:spacing w:before="2" w:after="0" w:line="200" w:lineRule="exact"/>
        <w:ind w:left="1368" w:right="1400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Centre and the State Governments should also take measures to regain their respect and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place in the society which once they enjoyed in our cultural and social life.</w:t>
      </w:r>
    </w:p>
    <w:p>
      <w:pPr>
        <w:spacing w:before="56" w:after="0" w:line="206" w:lineRule="exact"/>
        <w:ind w:left="998" w:right="1405" w:firstLine="369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Supreme Court has interpreted the law in consonance with the new social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needs. This is the recognition of their right of equality as enshrined in Article 14, as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well as their human right to life with dignity, which is the mandate of the Article 21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of the Constitution.</w:t>
      </w:r>
    </w:p>
    <w:p>
      <w:pPr>
        <w:tabs>
          <w:tab w:val="left" w:pos="2827"/>
        </w:tabs>
        <w:spacing w:before="71" w:after="0" w:line="210" w:lineRule="exact"/>
        <w:ind w:left="1003" w:right="1401" w:firstLine="364"/>
        <w:jc w:val="left"/>
      </w:pP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The philosophy contained in the Preamble, as explained in the foregoing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pages, has been further highlighted by emphasising that each individual shall not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only have the fundamental rights in Part III of the Constitution</w:t>
      </w:r>
    </w:p>
    <w:p>
      <w:pPr>
        <w:tabs>
          <w:tab w:val="left" w:pos="2827"/>
        </w:tabs>
        <w:spacing w:before="1" w:after="0" w:line="173" w:lineRule="exact"/>
        <w:ind w:left="1003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14"/>
          <w:szCs w:val="14"/>
        </w:rPr>
        <w:t xml:space="preserve">Fundamental Duties.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to ensure his liberty of expression, faith and worship, equality</w:t>
      </w:r>
    </w:p>
    <w:p>
      <w:pPr>
        <w:spacing w:before="38" w:after="0" w:line="184" w:lineRule="exact"/>
        <w:ind w:left="2827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of  opportunity  and  the  like,  but  also  a  corresponding</w:t>
      </w:r>
    </w:p>
    <w:p>
      <w:pPr>
        <w:spacing w:before="19" w:after="0" w:line="205" w:lineRule="exact"/>
        <w:ind w:left="998" w:right="1401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fundamental duty, such as to uphold the sovereignty, unity and integrity of the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nation, to maintain secularism and the common brotherhood amongst all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people of India. This has been done by inserting Article 51A, laying down ten [now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eleven]  A "Fundamental Duties", by the Constitution (42nd Amendment) Act, 1976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(see, further, under chapter 8,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post).</w:t>
      </w:r>
    </w:p>
    <w:p>
      <w:pPr>
        <w:spacing w:before="71" w:after="0" w:line="210" w:lineRule="exact"/>
        <w:ind w:left="1003" w:right="1381" w:firstLine="355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A fitting commentary on the foregoing contents of the Preamble to 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Constitution can be best offered by quoting a few lines from Prof Ernest Barker, 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one of the modern thinkers on democratic government.29</w:t>
      </w:r>
    </w:p>
    <w:p>
      <w:pPr>
        <w:spacing w:before="59" w:after="0" w:line="200" w:lineRule="exact"/>
        <w:ind w:left="1368" w:right="1386" w:firstLine="374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... there must be a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6"/>
          <w:szCs w:val="16"/>
        </w:rPr>
        <w:t xml:space="preserve">capacity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and a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6"/>
          <w:szCs w:val="16"/>
        </w:rPr>
        <w:t xml:space="preserve">passion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for the enjoyment of liberty—there must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be a sense of personality in each, and of respect for personality in all, generally spread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through the whole community—before the democratic State can be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6"/>
          <w:szCs w:val="16"/>
        </w:rPr>
        <w:t xml:space="preserve">truly achieved . . .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Perhaps it can be fairly demanded only in a community which has achieved a </w:t>
      </w:r>
      <w:r>
        <w:rPr>
          <w:rFonts w:ascii="Times New Roman" w:hAnsi="Times New Roman" w:cs="Times New Roman"/>
          <w:i/>
          <w:color w:val="000000"/>
          <w:spacing w:val="0"/>
          <w:w w:val="121"/>
          <w:sz w:val="16"/>
          <w:szCs w:val="16"/>
        </w:rPr>
        <w:t xml:space="preserve">sufficient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