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0" w:line="162" w:lineRule="exact"/>
        <w:ind w:left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r</w:t>
      </w:r>
    </w:p>
    <w:p>
      <w:pPr>
        <w:spacing w:before="0" w:after="0" w:line="184" w:lineRule="exact"/>
        <w:ind w:left="686"/>
        <w:rPr>
          <w:sz w:val="24"/>
          <w:szCs w:val="24"/>
        </w:rPr>
      </w:pPr>
    </w:p>
    <w:p>
      <w:pPr>
        <w:spacing w:before="0" w:after="0" w:line="184" w:lineRule="exact"/>
        <w:ind w:left="686"/>
        <w:rPr>
          <w:sz w:val="24"/>
          <w:szCs w:val="24"/>
        </w:rPr>
      </w:pPr>
    </w:p>
    <w:p>
      <w:pPr>
        <w:tabs>
          <w:tab w:val="left" w:pos="2884"/>
          <w:tab w:val="left" w:pos="7723"/>
        </w:tabs>
        <w:spacing w:before="90" w:after="0" w:line="184" w:lineRule="exact"/>
        <w:ind w:left="686" w:firstLine="0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CHAP. 31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THE PHILOSOPHY OF THE CONSTITUTION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29</w:t>
      </w:r>
    </w:p>
    <w:p>
      <w:pPr>
        <w:spacing w:before="0" w:after="0" w:line="195" w:lineRule="exact"/>
        <w:ind w:left="1041"/>
        <w:rPr>
          <w:sz w:val="24"/>
          <w:szCs w:val="24"/>
        </w:rPr>
      </w:pPr>
    </w:p>
    <w:p>
      <w:pPr>
        <w:spacing w:before="81" w:after="0" w:line="195" w:lineRule="exact"/>
        <w:ind w:left="1041" w:right="1725" w:firstLine="4"/>
        <w:jc w:val="both"/>
      </w:pPr>
      <w:r>
        <w:rPr>
          <w:rFonts w:ascii="Times New Roman" w:hAnsi="Times New Roman" w:cs="Times New Roman"/>
          <w:i/>
          <w:color w:val="000000"/>
          <w:spacing w:val="0"/>
          <w:w w:val="126"/>
          <w:sz w:val="14"/>
          <w:szCs w:val="14"/>
        </w:rPr>
        <w:t xml:space="preserve">standard of material existence, </w:t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and a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4"/>
          <w:szCs w:val="14"/>
        </w:rPr>
        <w:t xml:space="preserve">sufficient degree of national homogeneity </w:t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to devote itself </w:t>
      </w:r>
      <w:r>
        <w:rPr>
          <w:rFonts w:ascii="Times New Roman" w:hAnsi="Times New Roman" w:cs="Times New Roman"/>
          <w:color w:val="000000"/>
          <w:spacing w:val="0"/>
          <w:w w:val="128"/>
          <w:sz w:val="14"/>
          <w:szCs w:val="14"/>
        </w:rPr>
        <w:t xml:space="preserve">to an ideal of liberty which has to be </w:t>
      </w:r>
      <w:r>
        <w:rPr>
          <w:rFonts w:ascii="Times New Roman" w:hAnsi="Times New Roman" w:cs="Times New Roman"/>
          <w:i/>
          <w:color w:val="000000"/>
          <w:spacing w:val="0"/>
          <w:w w:val="128"/>
          <w:sz w:val="14"/>
          <w:szCs w:val="14"/>
        </w:rPr>
        <w:t xml:space="preserve">worked out in each by the common effort of all. </w:t>
      </w:r>
      <w:r>
        <w:rPr>
          <w:rFonts w:ascii="Times New Roman" w:hAnsi="Times New Roman" w:cs="Times New Roman"/>
          <w:color w:val="000000"/>
          <w:spacing w:val="0"/>
          <w:w w:val="128"/>
          <w:sz w:val="14"/>
          <w:szCs w:val="14"/>
        </w:rPr>
        <w:t xml:space="preserve">If the </w:t>
      </w:r>
      <w:r>
        <w:rPr>
          <w:rFonts w:ascii="Times New Roman" w:hAnsi="Times New Roman" w:cs="Times New Roman"/>
          <w:color w:val="000000"/>
          <w:spacing w:val="2"/>
          <w:w w:val="131"/>
          <w:sz w:val="14"/>
          <w:szCs w:val="14"/>
        </w:rPr>
        <w:t xml:space="preserve">problems of material existence are still absorbing... the ideal of living a common life of </w:t>
      </w:r>
      <w:r>
        <w:rPr>
          <w:rFonts w:ascii="Times New Roman" w:hAnsi="Times New Roman" w:cs="Times New Roman"/>
          <w:color w:val="000000"/>
          <w:spacing w:val="3"/>
          <w:w w:val="133"/>
          <w:sz w:val="14"/>
          <w:szCs w:val="14"/>
        </w:rPr>
        <w:t xml:space="preserve">freedom—in other words, of attaining a particular quality of life—will seem an ideal </w:t>
      </w:r>
      <w:r>
        <w:rPr>
          <w:rFonts w:ascii="Times New Roman" w:hAnsi="Times New Roman" w:cs="Times New Roman"/>
          <w:color w:val="000000"/>
          <w:spacing w:val="4"/>
          <w:w w:val="135"/>
          <w:sz w:val="14"/>
          <w:szCs w:val="14"/>
        </w:rPr>
        <w:t xml:space="preserve">dream. If, again, the problems of national homogeneity are still insistent, and there </w:t>
      </w: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is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4"/>
          <w:szCs w:val="14"/>
        </w:rPr>
        <w:t xml:space="preserve">no common feeling of fellowship—if </w:t>
      </w: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some sections of the community are regarded by </w:t>
      </w:r>
      <w:r>
        <w:rPr>
          <w:rFonts w:ascii="Times New Roman" w:hAnsi="Times New Roman" w:cs="Times New Roman"/>
          <w:color w:val="000000"/>
          <w:spacing w:val="4"/>
          <w:w w:val="135"/>
          <w:sz w:val="14"/>
          <w:szCs w:val="14"/>
        </w:rPr>
        <w:t xml:space="preserve">others, whether on the ground of their inferior education, or on the ground of their </w:t>
      </w:r>
      <w:r>
        <w:rPr>
          <w:rFonts w:ascii="Times New Roman" w:hAnsi="Times New Roman" w:cs="Times New Roman"/>
          <w:color w:val="000000"/>
          <w:spacing w:val="2"/>
          <w:w w:val="131"/>
          <w:sz w:val="14"/>
          <w:szCs w:val="14"/>
        </w:rPr>
        <w:t xml:space="preserve">inferior stock or any other ground, as essentially alien and heterogeneous—the ideal of </w:t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the common life of freedom will seem equally illusory...</w:t>
      </w:r>
    </w:p>
    <w:p>
      <w:pPr>
        <w:spacing w:before="61" w:after="0" w:line="200" w:lineRule="exact"/>
        <w:ind w:left="686" w:right="1718" w:firstLine="364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Combining the ideals of political, social and economic democracy with that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of equality and fraternity, the Preamble seeks to establish what Mahatma Gandhi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described as "the India of My Dreams", namely:</w:t>
      </w:r>
    </w:p>
    <w:p>
      <w:pPr>
        <w:spacing w:before="80" w:after="0" w:line="200" w:lineRule="exact"/>
        <w:ind w:left="1046" w:right="1734" w:firstLine="374"/>
        <w:jc w:val="both"/>
      </w:pPr>
      <w:r>
        <w:rPr>
          <w:rFonts w:ascii="Times New Roman" w:hAnsi="Times New Roman" w:cs="Times New Roman"/>
          <w:color w:val="000000"/>
          <w:spacing w:val="2"/>
          <w:w w:val="132"/>
          <w:sz w:val="14"/>
          <w:szCs w:val="14"/>
        </w:rPr>
        <w:t xml:space="preserve">... an India, in which the poorest shall feel that it is their country in whose making </w:t>
      </w:r>
      <w:r>
        <w:rPr>
          <w:rFonts w:ascii="Times New Roman" w:hAnsi="Times New Roman" w:cs="Times New Roman"/>
          <w:color w:val="000000"/>
          <w:spacing w:val="2"/>
          <w:w w:val="132"/>
          <w:sz w:val="14"/>
          <w:szCs w:val="14"/>
        </w:rPr>
        <w:t xml:space="preserve">they have an effective voice; . . .an India in which all communities shall live in perfect </w:t>
      </w:r>
      <w:r>
        <w:rPr>
          <w:rFonts w:ascii="Times New Roman" w:hAnsi="Times New Roman" w:cs="Times New Roman"/>
          <w:color w:val="000000"/>
          <w:spacing w:val="2"/>
          <w:w w:val="132"/>
          <w:sz w:val="14"/>
          <w:szCs w:val="14"/>
        </w:rPr>
        <w:t xml:space="preserve">harmony. There can be no room in such an India for the curse of untouchability or the</w:t>
      </w:r>
    </w:p>
    <w:p>
      <w:pPr>
        <w:spacing w:before="33" w:after="0" w:line="161" w:lineRule="exact"/>
        <w:ind w:left="1051"/>
      </w:pPr>
      <w:r>
        <w:rPr>
          <w:rFonts w:ascii="Times New Roman" w:hAnsi="Times New Roman" w:cs="Times New Roman"/>
          <w:color w:val="000000"/>
          <w:spacing w:val="2"/>
          <w:w w:val="130"/>
          <w:sz w:val="14"/>
          <w:szCs w:val="14"/>
        </w:rPr>
        <w:t xml:space="preserve">curse of intoxicating drinks and drugs. Women will enjoy the same rights as men."</w:t>
      </w:r>
    </w:p>
    <w:p>
      <w:pPr>
        <w:spacing w:before="62" w:after="0" w:line="206" w:lineRule="exact"/>
        <w:ind w:left="691" w:right="1718" w:firstLine="355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4"/>
          <w:szCs w:val="14"/>
        </w:rPr>
        <w:t xml:space="preserve">No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wonder such a successful combination in the text of our Preamble would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receive  unstinted approbation from Ernest Barker, who has reproduced  this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Preamble at the opening of his book on Social and Political Theory, observing that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Preamble to the Constitution of India states:</w:t>
      </w:r>
    </w:p>
    <w:p>
      <w:pPr>
        <w:spacing w:before="96" w:after="0" w:line="180" w:lineRule="exact"/>
        <w:ind w:left="1055" w:right="1727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In a brief and pithy form the argument of much of the book, and </w:t>
      </w:r>
      <w:r>
        <w:rPr>
          <w:rFonts w:ascii="Times New Roman" w:hAnsi="Times New Roman" w:cs="Times New Roman"/>
          <w:color w:val="000000"/>
          <w:spacing w:val="0"/>
          <w:w w:val="121"/>
          <w:sz w:val="14"/>
          <w:szCs w:val="14"/>
        </w:rPr>
        <w:t xml:space="preserve">it may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accordingly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4"/>
          <w:szCs w:val="14"/>
        </w:rPr>
        <w:t xml:space="preserve">serve as a key-note.31</w:t>
      </w:r>
    </w:p>
    <w:p>
      <w:pPr>
        <w:spacing w:before="0" w:after="0" w:line="184" w:lineRule="exact"/>
        <w:ind w:left="3739"/>
        <w:rPr>
          <w:sz w:val="24"/>
          <w:szCs w:val="24"/>
        </w:rPr>
      </w:pPr>
    </w:p>
    <w:p>
      <w:pPr>
        <w:spacing w:before="153" w:after="0" w:line="184" w:lineRule="exact"/>
        <w:ind w:left="3739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16"/>
          <w:szCs w:val="16"/>
        </w:rPr>
        <w:t xml:space="preserve">REFERENCES</w:t>
      </w:r>
    </w:p>
    <w:p>
      <w:pPr>
        <w:tabs>
          <w:tab w:val="left" w:pos="4147"/>
          <w:tab w:val="left" w:pos="4694"/>
        </w:tabs>
        <w:spacing w:before="135" w:after="0" w:line="161" w:lineRule="exact"/>
        <w:ind w:left="988"/>
      </w:pPr>
      <w:r>
        <w:rPr>
          <w:rFonts w:ascii="Times New Roman" w:hAnsi="Times New Roman" w:cs="Times New Roman"/>
          <w:color w:val="000000"/>
          <w:spacing w:val="0"/>
          <w:w w:val="119"/>
          <w:sz w:val="14"/>
          <w:szCs w:val="14"/>
        </w:rPr>
        <w:t xml:space="preserve">1. (1947) </w:t>
      </w:r>
      <w:r>
        <w:rPr>
          <w:rFonts w:ascii="Times New Roman" w:hAnsi="Times New Roman" w:cs="Times New Roman"/>
          <w:i/>
          <w:color w:val="000000"/>
          <w:spacing w:val="0"/>
          <w:w w:val="119"/>
          <w:sz w:val="14"/>
          <w:szCs w:val="14"/>
        </w:rPr>
        <w:t xml:space="preserve">Constituent Assembly Debates, vol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1, 304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(moved by Pandit Jawaharlal Nehru on 13</w:t>
      </w:r>
    </w:p>
    <w:p>
      <w:pPr>
        <w:spacing w:before="19" w:after="0" w:line="161" w:lineRule="exact"/>
        <w:ind w:left="1171"/>
      </w:pP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December 1946).</w:t>
      </w:r>
    </w:p>
    <w:p>
      <w:pPr>
        <w:tabs>
          <w:tab w:val="left" w:pos="1161"/>
        </w:tabs>
        <w:spacing w:before="24" w:after="0" w:line="180" w:lineRule="exact"/>
        <w:ind w:left="979" w:right="1744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4"/>
          <w:szCs w:val="14"/>
        </w:rPr>
        <w:t xml:space="preserve">2. The words in italics were inserted by the Constitution (42nd Amendment) Act, 1976. See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4"/>
          <w:szCs w:val="14"/>
        </w:rPr>
        <w:t xml:space="preserve">Author's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4"/>
          <w:szCs w:val="14"/>
        </w:rPr>
        <w:t xml:space="preserve">Constitutional Law of India, </w:t>
      </w:r>
      <w:r>
        <w:rPr>
          <w:rFonts w:ascii="Times New Roman" w:hAnsi="Times New Roman" w:cs="Times New Roman"/>
          <w:color w:val="000000"/>
          <w:spacing w:val="0"/>
          <w:w w:val="123"/>
          <w:sz w:val="14"/>
          <w:szCs w:val="14"/>
        </w:rPr>
        <w:t xml:space="preserve">Preamble.</w:t>
      </w:r>
    </w:p>
    <w:p>
      <w:pPr>
        <w:tabs>
          <w:tab w:val="left" w:pos="1175"/>
        </w:tabs>
        <w:spacing w:before="20" w:after="0" w:line="180" w:lineRule="exact"/>
        <w:ind w:left="979" w:right="1725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3.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4"/>
          <w:szCs w:val="14"/>
        </w:rPr>
        <w:t xml:space="preserve">AK Gopalan v State of Madras, </w:t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AIR 1950 SC 27 : (1950) SCR 88, p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4"/>
          <w:szCs w:val="14"/>
        </w:rPr>
        <w:t xml:space="preserve">198: </w:t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1950 SCJ 174;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4"/>
          <w:szCs w:val="14"/>
        </w:rPr>
        <w:t xml:space="preserve">UOI v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23"/>
          <w:sz w:val="14"/>
          <w:szCs w:val="14"/>
        </w:rPr>
        <w:t xml:space="preserve">Madan Copal, </w:t>
      </w:r>
      <w:r>
        <w:rPr>
          <w:rFonts w:ascii="Times New Roman" w:hAnsi="Times New Roman" w:cs="Times New Roman"/>
          <w:color w:val="000000"/>
          <w:spacing w:val="0"/>
          <w:w w:val="123"/>
          <w:sz w:val="14"/>
          <w:szCs w:val="14"/>
        </w:rPr>
        <w:t xml:space="preserve">AIR 1954 SC 158: (1954) SCR 541, p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4"/>
          <w:szCs w:val="14"/>
        </w:rPr>
        <w:t xml:space="preserve">555.</w:t>
      </w:r>
    </w:p>
    <w:p>
      <w:pPr>
        <w:spacing w:before="16" w:after="0" w:line="161" w:lineRule="exact"/>
        <w:ind w:left="979"/>
      </w:pPr>
      <w:r>
        <w:rPr>
          <w:rFonts w:ascii="Times New Roman" w:hAnsi="Times New Roman" w:cs="Times New Roman"/>
          <w:color w:val="000000"/>
          <w:spacing w:val="0"/>
          <w:w w:val="122"/>
          <w:sz w:val="14"/>
          <w:szCs w:val="14"/>
        </w:rPr>
        <w:t xml:space="preserve">4.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4"/>
          <w:szCs w:val="14"/>
        </w:rPr>
        <w:t xml:space="preserve">Re Berubari Union, </w:t>
      </w:r>
      <w:r>
        <w:rPr>
          <w:rFonts w:ascii="Times New Roman" w:hAnsi="Times New Roman" w:cs="Times New Roman"/>
          <w:color w:val="000000"/>
          <w:spacing w:val="0"/>
          <w:w w:val="122"/>
          <w:sz w:val="14"/>
          <w:szCs w:val="14"/>
        </w:rPr>
        <w:t xml:space="preserve">AIR 1960 SC 845, p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4"/>
          <w:szCs w:val="14"/>
        </w:rPr>
        <w:t xml:space="preserve">846: </w:t>
      </w:r>
      <w:r>
        <w:rPr>
          <w:rFonts w:ascii="Times New Roman" w:hAnsi="Times New Roman" w:cs="Times New Roman"/>
          <w:color w:val="000000"/>
          <w:spacing w:val="0"/>
          <w:w w:val="122"/>
          <w:sz w:val="14"/>
          <w:szCs w:val="14"/>
        </w:rPr>
        <w:t xml:space="preserve">(1960) 3 SCR 250.</w:t>
      </w:r>
    </w:p>
    <w:p>
      <w:pPr>
        <w:tabs>
          <w:tab w:val="left" w:pos="1175"/>
        </w:tabs>
        <w:spacing w:before="24" w:after="0" w:line="180" w:lineRule="exact"/>
        <w:ind w:left="979" w:right="1739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5. So called since the Imperial Conference 1926. Later it has come to be mentioned simply as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4"/>
          <w:szCs w:val="14"/>
        </w:rPr>
        <w:t xml:space="preserve">"The Commonwealth" [Cf Barker, </w:t>
      </w:r>
      <w:r>
        <w:rPr>
          <w:rFonts w:ascii="Times New Roman" w:hAnsi="Times New Roman" w:cs="Times New Roman"/>
          <w:i/>
          <w:color w:val="000000"/>
          <w:spacing w:val="0"/>
          <w:w w:val="123"/>
          <w:sz w:val="14"/>
          <w:szCs w:val="14"/>
        </w:rPr>
        <w:t xml:space="preserve">Essays on Government, </w:t>
      </w:r>
      <w:r>
        <w:rPr>
          <w:rFonts w:ascii="Times New Roman" w:hAnsi="Times New Roman" w:cs="Times New Roman"/>
          <w:color w:val="000000"/>
          <w:spacing w:val="0"/>
          <w:w w:val="123"/>
          <w:sz w:val="14"/>
          <w:szCs w:val="14"/>
        </w:rPr>
        <w:t xml:space="preserve">1956, pp 16-18].</w:t>
      </w:r>
    </w:p>
    <w:p>
      <w:pPr>
        <w:spacing w:before="0" w:after="0" w:line="186" w:lineRule="exact"/>
        <w:ind w:left="1171" w:right="1734" w:firstLine="172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The concept of Commonwealth as an association has considerably weakened when the </w:t>
      </w:r>
      <w:r>
        <w:rPr>
          <w:rFonts w:ascii="Times New Roman" w:hAnsi="Times New Roman" w:cs="Times New Roman"/>
          <w:color w:val="000000"/>
          <w:spacing w:val="0"/>
          <w:w w:val="125"/>
          <w:sz w:val="14"/>
          <w:szCs w:val="14"/>
        </w:rPr>
        <w:t xml:space="preserve">United Kingdom virtually segregated itself by refusing to protest against the Racist atrocities </w:t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committed by the Government of South Africa and later by imposing the visa system upon </w:t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immigrants from India and some other states.</w:t>
      </w:r>
    </w:p>
    <w:p>
      <w:pPr>
        <w:spacing w:before="31" w:after="0" w:line="161" w:lineRule="exact"/>
        <w:ind w:left="984"/>
      </w:pPr>
      <w:r>
        <w:rPr>
          <w:rFonts w:ascii="Times New Roman" w:hAnsi="Times New Roman" w:cs="Times New Roman"/>
          <w:color w:val="000000"/>
          <w:spacing w:val="0"/>
          <w:w w:val="115"/>
          <w:sz w:val="14"/>
          <w:szCs w:val="14"/>
        </w:rPr>
        <w:t xml:space="preserve">6. </w:t>
      </w:r>
      <w:r>
        <w:rPr>
          <w:rFonts w:ascii="Times New Roman" w:hAnsi="Times New Roman" w:cs="Times New Roman"/>
          <w:i/>
          <w:color w:val="000000"/>
          <w:spacing w:val="0"/>
          <w:w w:val="115"/>
          <w:sz w:val="14"/>
          <w:szCs w:val="14"/>
        </w:rPr>
        <w:t xml:space="preserve">Constituent Assembly Debates, </w:t>
      </w:r>
      <w:r>
        <w:rPr>
          <w:rFonts w:ascii="Times New Roman" w:hAnsi="Times New Roman" w:cs="Times New Roman"/>
          <w:color w:val="000000"/>
          <w:spacing w:val="0"/>
          <w:w w:val="115"/>
          <w:sz w:val="14"/>
          <w:szCs w:val="14"/>
        </w:rPr>
        <w:t xml:space="preserve">vol 8, 16 May 1949.</w:t>
      </w:r>
    </w:p>
    <w:p>
      <w:pPr>
        <w:spacing w:before="19" w:after="0" w:line="161" w:lineRule="exact"/>
        <w:ind w:left="988"/>
      </w:pPr>
      <w:r>
        <w:rPr>
          <w:rFonts w:ascii="Times New Roman" w:hAnsi="Times New Roman" w:cs="Times New Roman"/>
          <w:color w:val="000000"/>
          <w:spacing w:val="0"/>
          <w:w w:val="116"/>
          <w:sz w:val="14"/>
          <w:szCs w:val="14"/>
        </w:rPr>
        <w:t xml:space="preserve">7.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4"/>
          <w:szCs w:val="14"/>
        </w:rPr>
        <w:t xml:space="preserve">Constituent Assembly Debates, </w:t>
      </w:r>
      <w:r>
        <w:rPr>
          <w:rFonts w:ascii="Times New Roman" w:hAnsi="Times New Roman" w:cs="Times New Roman"/>
          <w:color w:val="000000"/>
          <w:spacing w:val="0"/>
          <w:w w:val="116"/>
          <w:sz w:val="14"/>
          <w:szCs w:val="14"/>
        </w:rPr>
        <w:t xml:space="preserve">vol 2, 22 January 1947.</w:t>
      </w:r>
    </w:p>
    <w:p>
      <w:pPr>
        <w:tabs>
          <w:tab w:val="left" w:pos="1175"/>
          <w:tab w:val="left" w:pos="1175"/>
          <w:tab w:val="left" w:pos="1175"/>
          <w:tab w:val="left" w:pos="1175"/>
          <w:tab w:val="left" w:pos="1175"/>
          <w:tab w:val="left" w:pos="1175"/>
          <w:tab w:val="left" w:pos="1175"/>
        </w:tabs>
        <w:spacing w:before="0" w:after="0" w:line="188" w:lineRule="exact"/>
        <w:ind w:left="873" w:right="1716"/>
        <w:jc w:val="left"/>
      </w:pP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7A.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4"/>
          <w:szCs w:val="14"/>
        </w:rPr>
        <w:t xml:space="preserve">Vishakha v State of Rajasthan, 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16"/>
          <w:szCs w:val="16"/>
        </w:rPr>
        <w:t xml:space="preserve">AIR </w:t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1997 SC 3011 : (1997) SCR (Supp 3) 404. In the absence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of domestic law occupying the field, to formulate effective measures to check the evil of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sexual harassment of working women at all working places, the contents of International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Conventions and norms are significant for the purpose of interpretation of the guarantee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of gender equality, right to work with human dignity enshrined in Articles 14, 15, 19(1) (g)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and 21 of the Constitution and the safeguards against sexual harassment implicit therein.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4"/>
          <w:szCs w:val="14"/>
        </w:rPr>
        <w:t xml:space="preserve">This is implicit from Article </w:t>
      </w:r>
      <w:r>
        <w:rPr>
          <w:rFonts w:ascii="Times New Roman" w:hAnsi="Times New Roman" w:cs="Times New Roman"/>
          <w:color w:val="000000"/>
          <w:spacing w:val="0"/>
          <w:w w:val="107"/>
          <w:sz w:val="14"/>
          <w:szCs w:val="14"/>
        </w:rPr>
        <w:t xml:space="preserve">51 </w:t>
      </w:r>
      <w:r>
        <w:rPr>
          <w:rFonts w:ascii="Times New Roman" w:hAnsi="Times New Roman" w:cs="Times New Roman"/>
          <w:color w:val="000000"/>
          <w:spacing w:val="2"/>
          <w:w w:val="131"/>
          <w:sz w:val="14"/>
          <w:szCs w:val="14"/>
        </w:rPr>
        <w:t xml:space="preserve">(c) and enabling power of parliament to enact laws for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8"/>
          <w:sz w:val="14"/>
          <w:szCs w:val="14"/>
        </w:rPr>
        <w:t xml:space="preserve">implementing the International Conventions and norms by virtue of Article 253 rea</w:t>
      </w:r>
      <w:r>
        <w:rPr>
          <w:rFonts w:ascii="Times New Roman" w:hAnsi="Times New Roman" w:cs="Times New Roman"/>
          <w:color w:val="000000"/>
          <w:spacing w:val="0"/>
          <w:w w:val="128"/>
          <w:sz w:val="21"/>
          <w:szCs w:val="21"/>
          <w:vertAlign w:val="superscript"/>
        </w:rPr>
        <w:t xml:space="preserve">d wit</w:t>
      </w:r>
      <w:r>
        <w:rPr>
          <w:rFonts w:ascii="Times New Roman" w:hAnsi="Times New Roman" w:cs="Times New Roman"/>
          <w:color w:val="000000"/>
          <w:spacing w:val="0"/>
          <w:w w:val="128"/>
          <w:sz w:val="21"/>
          <w:szCs w:val="21"/>
          <w:vertAlign w:val="superscript"/>
        </w:rPr>
        <w:t xml:space="preserve">h</w:t>
      </w:r>
    </w:p>
    <w:p>
      <w:pPr>
        <w:tabs>
          <w:tab w:val="left" w:pos="1180"/>
        </w:tabs>
        <w:spacing w:before="23" w:after="0" w:line="172" w:lineRule="exact"/>
        <w:ind w:left="0" w:firstLine="0"/>
      </w:pPr>
      <w:r>
        <w:rPr>
          <w:rFonts w:ascii="Times New Roman" w:hAnsi="Times New Roman" w:cs="Times New Roman"/>
          <w:color w:val="000000"/>
          <w:spacing w:val="0"/>
          <w:w w:val="120"/>
          <w:sz w:val="14"/>
          <w:szCs w:val="14"/>
        </w:rPr>
        <w:t xml:space="preserve">E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entry 14 of the. Union List in Seventh Schedule of the Constitution. The Parliament has</w:t>
      </w:r>
    </w:p>
    <w:p>
      <w:pPr>
        <w:tabs>
          <w:tab w:val="left" w:pos="1175"/>
        </w:tabs>
        <w:spacing w:before="0" w:after="0" w:line="190" w:lineRule="exact"/>
        <w:ind w:left="883" w:right="1730" w:firstLine="297"/>
        <w:jc w:val="left"/>
      </w:pP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now enacted the Sexual Harassment of Women at Workplace (Prevention, Prohibition and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4"/>
          <w:szCs w:val="14"/>
        </w:rPr>
        <w:t xml:space="preserve">Redressal) Act, 2013 to protect women from sexual harassment at their place of work. </w:t>
      </w:r>
      <w:br/>
      <w:r>
        <w:rPr>
          <w:rFonts w:ascii="Times New Roman" w:hAnsi="Times New Roman" w:cs="Times New Roman"/>
          <w:color w:val="000000"/>
          <w:spacing w:val="0"/>
          <w:w w:val="120"/>
          <w:sz w:val="14"/>
          <w:szCs w:val="14"/>
        </w:rPr>
        <w:t xml:space="preserve">7B.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4"/>
          <w:szCs w:val="14"/>
        </w:rPr>
        <w:t xml:space="preserve">Vellum Citizens' Welfare Forum v UOI, </w:t>
      </w:r>
      <w:r>
        <w:rPr>
          <w:rFonts w:ascii="Times New Roman" w:hAnsi="Times New Roman" w:cs="Times New Roman"/>
          <w:color w:val="000000"/>
          <w:spacing w:val="0"/>
          <w:w w:val="120"/>
          <w:sz w:val="14"/>
          <w:szCs w:val="14"/>
        </w:rPr>
        <w:t xml:space="preserve">(1996) 5 SCC 647, p 660 para 15).</w:t>
      </w:r>
    </w:p>
    <w:p>
      <w:pPr>
        <w:tabs>
          <w:tab w:val="left" w:pos="1180"/>
          <w:tab w:val="left" w:pos="1180"/>
        </w:tabs>
        <w:spacing w:before="0" w:after="0" w:line="190" w:lineRule="exact"/>
        <w:ind w:left="988" w:right="1725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4"/>
          <w:szCs w:val="14"/>
        </w:rPr>
        <w:t xml:space="preserve">8. The survival of this representative democracy and Parliamentary Government in India for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1"/>
          <w:w w:val="129"/>
          <w:sz w:val="14"/>
          <w:szCs w:val="14"/>
        </w:rPr>
        <w:t xml:space="preserve">about seven decades since Independence should silence her critics, since military regim</w:t>
      </w:r>
      <w:r>
        <w:rPr>
          <w:rFonts w:ascii="Times New Roman" w:hAnsi="Times New Roman" w:cs="Times New Roman"/>
          <w:color w:val="000000"/>
          <w:spacing w:val="1"/>
          <w:w w:val="129"/>
          <w:sz w:val="21"/>
          <w:szCs w:val="21"/>
          <w:vertAlign w:val="superscript"/>
        </w:rPr>
        <w:t xml:space="preserve">e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27"/>
          <w:sz w:val="14"/>
          <w:szCs w:val="14"/>
        </w:rPr>
        <w:t xml:space="preserve">prevailed in her neighbouring countries until recently.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