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960"/>
        <w:rPr>
          <w:sz w:val="24"/>
          <w:szCs w:val="24"/>
        </w:rPr>
      </w:pPr>
    </w:p>
    <w:p>
      <w:pPr>
        <w:tabs>
          <w:tab w:val="left" w:pos="2140"/>
          <w:tab w:val="left" w:pos="7348"/>
        </w:tabs>
        <w:spacing w:before="36" w:after="0" w:line="184" w:lineRule="exact"/>
        <w:ind w:left="96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298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[CHAP. 21</w:t>
      </w:r>
    </w:p>
    <w:p>
      <w:pPr>
        <w:spacing w:before="0" w:after="0" w:line="205" w:lineRule="exact"/>
        <w:ind w:left="945"/>
        <w:rPr>
          <w:sz w:val="24"/>
          <w:szCs w:val="24"/>
        </w:rPr>
      </w:pPr>
    </w:p>
    <w:p>
      <w:pPr>
        <w:tabs>
          <w:tab w:val="left" w:pos="6600"/>
        </w:tabs>
        <w:spacing w:before="61" w:after="0" w:line="205" w:lineRule="exact"/>
        <w:ind w:left="945" w:right="1425" w:firstLine="374"/>
        <w:jc w:val="both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Since  the enactment of the Criminal Procedure Code,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1973,  the trial of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criminal cases is done exclusively by "Judicial Magistrates". The Chief Judicial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Magistrate is the head of the criminal courts within the district. In Calcutta and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other "metropolitan areas", there are Metropolitan Magistrates.3 The Judicial and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Metropolitan Magistrates, discharging judicial functions, under the administrative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control of the State high court, are to be distinguished from Executive Magistrates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who discharge the executive function of maintaining law and order, under the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control of the State Government.</w:t>
      </w:r>
    </w:p>
    <w:p>
      <w:pPr>
        <w:spacing w:before="97" w:after="0" w:line="203" w:lineRule="exact"/>
        <w:ind w:left="950" w:right="1444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6"/>
          <w:szCs w:val="16"/>
        </w:rPr>
        <w:t xml:space="preserve">There are special arrangements for civil judicial administration in the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"Presidency towns", which are now called "metropolitan areas". The Original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Side of the high court at Calcutta tries the bigger </w:t>
      </w:r>
      <w:r>
        <w:rPr>
          <w:rFonts w:ascii="Times New Roman" w:hAnsi="Times New Roman" w:cs="Times New Roman"/>
          <w:i/>
          <w:color w:val="000000"/>
          <w:spacing w:val="4"/>
          <w:w w:val="134"/>
          <w:sz w:val="16"/>
          <w:szCs w:val="16"/>
        </w:rPr>
        <w:t xml:space="preserve">civil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suits arising within the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area of the Presidency town. Suits of lower value within the city are tried by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the City Civil Court and the Presidency Small Causes Court. But the Original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Criminal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jurisdiction of all high courts, including Calcutta, has been taken away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by the Criminal Procedure Code, 1973.3</w:t>
      </w:r>
    </w:p>
    <w:p>
      <w:pPr>
        <w:spacing w:before="76" w:after="0" w:line="205" w:lineRule="exact"/>
        <w:ind w:left="931" w:right="1434" w:firstLine="379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High Court is the supreme judicial tribunal of the State — having both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Original and Appellate jurisdiction. It exercises appellate jurisdiction over the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District and Sessions Judge, the Presidency Magistrates and the Original Side of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high court itself (where the Original Side still continues). There is a high court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for each of the States, except Nagaland, Mizoram, and Arunachal Pradesh, which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have the three respective benches of the high court of Gauhati as their common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high court;4 and Haryana, which has a common High Court (at Chandigarh) with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Punjab. The High Court of Judicature at Hyderabad functioned as the common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High Court for the State of Telangana and the State of Andhra Pradesh with effect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from 02 June 2014 by virtue of section 30(1) of part IV of the Andhra Pradesh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Reorganisation Act, 2014. As per the Order of the Government of India, dated 26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December 2018, the common High Court of Judicature at Hyderabad has been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bifurcated and new high courts namely, High Court for the State of Telangana and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High Court of Andhra Pradesh have been established. The seat of High Court of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Andhra Pradesh has been established at Amravati while the seat of the High Court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of Telangana is Hyderabad.5 The Bombay High Court is common for the States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of Maharashtra and Goa, (and also for the Union Territories of Dadra and Nagar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Haveli and Daman and Diu).</w:t>
      </w:r>
    </w:p>
    <w:p>
      <w:pPr>
        <w:spacing w:before="100" w:after="0" w:line="200" w:lineRule="exact"/>
        <w:ind w:left="907" w:right="1444" w:firstLine="393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 Jammu and Kashmir Reorganisation Act, 2019 provides that the High Court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of Jammu and Kashmir shall be the common High Court for the Union territory of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Jammu and Kashmir and Union territory of Ladakh. It provides that the Judges of</w:t>
      </w:r>
    </w:p>
    <w:p>
      <w:pPr>
        <w:spacing w:before="0" w:after="0" w:line="210" w:lineRule="exact"/>
        <w:ind w:left="902" w:right="1463" w:firstLine="43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High Court ofJammu and Kashmir for the erstwhile State ofJammu and Kashmir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holding office immediately before 31 October 2019 shall become on that day the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Judges of the common High Court.</w:t>
      </w:r>
    </w:p>
    <w:p>
      <w:pPr>
        <w:spacing w:before="104" w:after="0" w:line="184" w:lineRule="exact"/>
        <w:ind w:left="1291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As regards the Judiciary in Union Territories, see under "Union Territories".</w:t>
      </w:r>
    </w:p>
    <w:p>
      <w:pPr>
        <w:spacing w:before="55" w:after="0" w:line="210" w:lineRule="exact"/>
        <w:ind w:left="902" w:right="1463" w:firstLine="393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Supreme Court has appellate jurisdiction over the high courts and is the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highest tribunal of the land. The Supreme Court also possesses original and advisory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jurisdictions which will be fully explained hereafter (in chapter 22).</w:t>
      </w:r>
    </w:p>
    <w:p>
      <w:pPr>
        <w:spacing w:before="0" w:after="0" w:line="184" w:lineRule="exact"/>
        <w:ind w:left="3993"/>
        <w:rPr>
          <w:sz w:val="24"/>
          <w:szCs w:val="24"/>
        </w:rPr>
      </w:pPr>
    </w:p>
    <w:p>
      <w:pPr>
        <w:spacing w:before="168" w:after="0" w:line="184" w:lineRule="exact"/>
        <w:ind w:left="3993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REFERENCES</w:t>
      </w:r>
    </w:p>
    <w:p>
      <w:pPr>
        <w:spacing w:before="135" w:after="0" w:line="161" w:lineRule="exact"/>
        <w:ind w:left="1238"/>
      </w:pPr>
      <w:r>
        <w:rPr>
          <w:rFonts w:ascii="Times New Roman" w:hAnsi="Times New Roman" w:cs="Times New Roman"/>
          <w:color w:val="000000"/>
          <w:spacing w:val="0"/>
          <w:w w:val="127"/>
          <w:sz w:val="12"/>
          <w:szCs w:val="12"/>
        </w:rPr>
        <w:t xml:space="preserve">1. </w:t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For a list of high courts, their seat and territorial jurisdiction, see Table XVII.</w:t>
      </w:r>
    </w:p>
    <w:p>
      <w:pPr>
        <w:spacing w:before="19" w:after="0" w:line="161" w:lineRule="exact"/>
        <w:ind w:left="1228"/>
      </w:pPr>
      <w:r>
        <w:rPr>
          <w:rFonts w:ascii="Times New Roman" w:hAnsi="Times New Roman" w:cs="Times New Roman"/>
          <w:color w:val="000000"/>
          <w:spacing w:val="0"/>
          <w:w w:val="118"/>
          <w:sz w:val="14"/>
          <w:szCs w:val="14"/>
        </w:rPr>
        <w:t xml:space="preserve">2.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4"/>
          <w:szCs w:val="14"/>
        </w:rPr>
        <w:t xml:space="preserve">All India Judges Association a UOI, </w:t>
      </w:r>
      <w:r>
        <w:rPr>
          <w:rFonts w:ascii="Times New Roman" w:hAnsi="Times New Roman" w:cs="Times New Roman"/>
          <w:color w:val="000000"/>
          <w:spacing w:val="0"/>
          <w:w w:val="118"/>
          <w:sz w:val="14"/>
          <w:szCs w:val="14"/>
        </w:rPr>
        <w:t xml:space="preserve">AIR 1992 SC 165.</w:t>
      </w:r>
    </w:p>
    <w:p>
      <w:pPr>
        <w:spacing w:before="39" w:after="0" w:line="161" w:lineRule="exact"/>
        <w:ind w:left="1224"/>
      </w:pPr>
      <w:r>
        <w:rPr>
          <w:rFonts w:ascii="Times New Roman" w:hAnsi="Times New Roman" w:cs="Times New Roman"/>
          <w:color w:val="000000"/>
          <w:spacing w:val="0"/>
          <w:w w:val="121"/>
          <w:sz w:val="14"/>
          <w:szCs w:val="14"/>
        </w:rPr>
        <w:t xml:space="preserve">3. See Author's </w:t>
      </w:r>
      <w:r>
        <w:rPr>
          <w:rFonts w:ascii="Times New Roman" w:hAnsi="Times New Roman" w:cs="Times New Roman"/>
          <w:i/>
          <w:color w:val="000000"/>
          <w:spacing w:val="0"/>
          <w:w w:val="121"/>
          <w:sz w:val="14"/>
          <w:szCs w:val="14"/>
        </w:rPr>
        <w:t xml:space="preserve">Criminal Procedure Code, 1973, </w:t>
      </w:r>
      <w:r>
        <w:rPr>
          <w:rFonts w:ascii="Times New Roman" w:hAnsi="Times New Roman" w:cs="Times New Roman"/>
          <w:color w:val="000000"/>
          <w:spacing w:val="0"/>
          <w:w w:val="121"/>
          <w:sz w:val="14"/>
          <w:szCs w:val="14"/>
        </w:rPr>
        <w:t xml:space="preserve">Prentice-Hall of India, 2nd Edn, 1992, pp 33, </w:t>
      </w:r>
      <w:r>
        <w:rPr>
          <w:rFonts w:ascii="Times New Roman" w:hAnsi="Times New Roman" w:cs="Times New Roman"/>
          <w:i/>
          <w:color w:val="000000"/>
          <w:spacing w:val="0"/>
          <w:w w:val="121"/>
          <w:sz w:val="14"/>
          <w:szCs w:val="14"/>
        </w:rPr>
        <w:t xml:space="preserve">et seq.</w:t>
      </w:r>
    </w:p>
    <w:p>
      <w:pPr>
        <w:tabs>
          <w:tab w:val="left" w:pos="1420"/>
          <w:tab w:val="left" w:pos="1416"/>
        </w:tabs>
        <w:spacing w:before="0" w:after="0" w:line="190" w:lineRule="exact"/>
        <w:ind w:left="1224" w:right="1474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4. Three separate high courts have been established in Meghalaya, Manipur and Tripura by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the President of India, in exercise of the powers conferred by sub-section (2) of section 28A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of the North Eastern Areas (Reorganisation) Act, 1971 and has appointed the Principal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