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184" w:lineRule="exact"/>
        <w:ind w:left="787"/>
        <w:rPr>
          <w:sz w:val="24"/>
          <w:szCs w:val="24"/>
        </w:rPr>
      </w:pPr>
    </w:p>
    <w:p>
      <w:pPr>
        <w:spacing w:before="0" w:after="0" w:line="184" w:lineRule="exact"/>
        <w:ind w:left="787"/>
        <w:rPr>
          <w:sz w:val="24"/>
          <w:szCs w:val="24"/>
        </w:rPr>
      </w:pPr>
    </w:p>
    <w:p>
      <w:pPr>
        <w:spacing w:before="0" w:after="0" w:line="184" w:lineRule="exact"/>
        <w:ind w:left="787"/>
        <w:rPr>
          <w:sz w:val="24"/>
          <w:szCs w:val="24"/>
        </w:rPr>
      </w:pPr>
    </w:p>
    <w:p>
      <w:pPr>
        <w:tabs>
          <w:tab w:val="left" w:pos="3835"/>
          <w:tab w:val="left" w:pos="7727"/>
        </w:tabs>
        <w:spacing w:before="14" w:after="0" w:line="184" w:lineRule="exact"/>
        <w:ind w:left="787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CHAP. 22]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THE SUPREME COURT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301</w:t>
      </w:r>
    </w:p>
    <w:p>
      <w:pPr>
        <w:spacing w:before="0" w:after="0" w:line="220" w:lineRule="exact"/>
        <w:ind w:left="787"/>
        <w:rPr>
          <w:sz w:val="24"/>
          <w:szCs w:val="24"/>
        </w:rPr>
      </w:pPr>
    </w:p>
    <w:p>
      <w:pPr>
        <w:spacing w:before="28" w:after="0" w:line="220" w:lineRule="exact"/>
        <w:ind w:left="787" w:right="1626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courts where the persons to be recommended are functioning as Judges should be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conveyed by the Chief Justice of India to the Government of India.</w:t>
      </w:r>
    </w:p>
    <w:p>
      <w:pPr>
        <w:spacing w:before="77" w:after="0" w:line="200" w:lineRule="exact"/>
        <w:ind w:left="782" w:right="1622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4. The substance of the views of the others consulted by the ChiefJustice of India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or on his behalf, particularly those of non-Judges (Members of the Bar) should be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stated in the memorandum and be conveyed to the Government of India.</w:t>
      </w:r>
    </w:p>
    <w:p>
      <w:pPr>
        <w:spacing w:before="100" w:after="0" w:line="200" w:lineRule="exact"/>
        <w:ind w:left="782" w:right="1602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5. Normally, the </w:t>
      </w:r>
      <w:r>
        <w:rPr>
          <w:rFonts w:ascii="Times New Roman" w:hAnsi="Times New Roman" w:cs="Times New Roman"/>
          <w:i/>
          <w:color w:val="000000"/>
          <w:spacing w:val="2"/>
          <w:w w:val="130"/>
          <w:sz w:val="18"/>
          <w:szCs w:val="18"/>
        </w:rPr>
        <w:t xml:space="preserve">collegium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should make its recommendation on the basis of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consensus but in case of difference of opinion no one would be appointed, if the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CJI dissents.</w:t>
      </w:r>
    </w:p>
    <w:p>
      <w:pPr>
        <w:spacing w:before="80" w:after="0" w:line="200" w:lineRule="exact"/>
        <w:ind w:left="782" w:right="1626" w:firstLine="369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6. If two or more members of the </w:t>
      </w:r>
      <w:r>
        <w:rPr>
          <w:rFonts w:ascii="Times New Roman" w:hAnsi="Times New Roman" w:cs="Times New Roman"/>
          <w:i/>
          <w:color w:val="000000"/>
          <w:spacing w:val="0"/>
          <w:w w:val="127"/>
          <w:sz w:val="18"/>
          <w:szCs w:val="18"/>
        </w:rPr>
        <w:t xml:space="preserve">collegium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dissent, CJI should not persist with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the recommendation.</w:t>
      </w:r>
    </w:p>
    <w:p>
      <w:pPr>
        <w:tabs>
          <w:tab w:val="left" w:pos="782"/>
          <w:tab w:val="left" w:pos="782"/>
        </w:tabs>
        <w:spacing w:before="129" w:after="0" w:line="166" w:lineRule="exact"/>
        <w:ind w:left="0" w:right="1627" w:firstLine="1151"/>
        <w:jc w:val="left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7. In case of non-appointment of the person recommended, the materials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and information conveyed by the Government of India, must be placed before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the original </w:t>
      </w:r>
      <w:r>
        <w:rPr>
          <w:rFonts w:ascii="Times New Roman" w:hAnsi="Times New Roman" w:cs="Times New Roman"/>
          <w:i/>
          <w:color w:val="000000"/>
          <w:spacing w:val="5"/>
          <w:w w:val="134"/>
          <w:sz w:val="16"/>
          <w:szCs w:val="16"/>
        </w:rPr>
        <w:t xml:space="preserve">collegium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or the reconstituted one, if so, to consider whether the </w:t>
      </w:r>
      <w:r>
        <w:rPr>
          <w:rFonts w:ascii="Times New Roman" w:hAnsi="Times New Roman" w:cs="Times New Roman"/>
          <w:color w:val="000000"/>
          <w:spacing w:val="0"/>
          <w:w w:val="100"/>
          <w:sz w:val="16"/>
          <w:szCs w:val="16"/>
        </w:rPr>
        <w:t xml:space="preserve">r</w:t>
      </w:r>
    </w:p>
    <w:p>
      <w:pPr>
        <w:spacing w:before="0" w:after="0" w:line="200" w:lineRule="exact"/>
        <w:ind w:left="782" w:right="1622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recommendation should be withdrawn or reiterated. It is only if it unanimously </w:t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reiterated that the appointment must be made.</w:t>
      </w:r>
    </w:p>
    <w:p>
      <w:pPr>
        <w:spacing w:before="2" w:after="0" w:line="206" w:lineRule="exact"/>
        <w:ind w:left="777" w:right="1627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8. The CJI may, in his discretion, bring to the knowledge of the person </w:t>
      </w: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recommended the reasons disclosed by the Government of India for his non-</w:t>
      </w:r>
      <w:br/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appointment and ask for his response thereto, which, if made, be considered by the </w:t>
      </w:r>
      <w:r>
        <w:rPr>
          <w:rFonts w:ascii="Times New Roman" w:hAnsi="Times New Roman" w:cs="Times New Roman"/>
          <w:i/>
          <w:color w:val="000000"/>
          <w:spacing w:val="0"/>
          <w:w w:val="125"/>
          <w:sz w:val="18"/>
          <w:szCs w:val="18"/>
        </w:rPr>
        <w:t xml:space="preserve">collegium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before withdrawing or reiterating the recommendation.</w:t>
      </w:r>
    </w:p>
    <w:p>
      <w:pPr>
        <w:spacing w:before="99" w:after="0" w:line="200" w:lineRule="exact"/>
        <w:ind w:left="777" w:right="1627" w:firstLine="360"/>
        <w:jc w:val="both"/>
      </w:pP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9. Merit should be predominant consideration though inter-seniority among </w:t>
      </w:r>
      <w:r>
        <w:rPr>
          <w:rFonts w:ascii="Times New Roman" w:hAnsi="Times New Roman" w:cs="Times New Roman"/>
          <w:color w:val="000000"/>
          <w:spacing w:val="4"/>
          <w:w w:val="134"/>
          <w:sz w:val="16"/>
          <w:szCs w:val="16"/>
        </w:rPr>
        <w:t xml:space="preserve">the Judges in their high courts and their combined seniority on all India basis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should be given weight.</w:t>
      </w:r>
    </w:p>
    <w:p>
      <w:pPr>
        <w:spacing w:before="64" w:after="0" w:line="220" w:lineRule="exact"/>
        <w:ind w:left="777" w:right="1636" w:firstLine="374"/>
        <w:jc w:val="both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10. Cogent and good reasons should be recorded for recommending a person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of outstanding merit regardless of his lower seniority.</w:t>
      </w:r>
    </w:p>
    <w:p>
      <w:pPr>
        <w:spacing w:before="69" w:after="0" w:line="210" w:lineRule="exact"/>
        <w:ind w:left="777" w:right="1612" w:firstLine="37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11. For recommending one of several persons of more or less equal degree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merit, the factor of the high courts not represented on the Supreme Court, may be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considered.</w:t>
      </w:r>
    </w:p>
    <w:p>
      <w:pPr>
        <w:spacing w:before="79" w:after="0" w:line="200" w:lineRule="exact"/>
        <w:ind w:left="777" w:right="1636" w:firstLine="369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12. The judge passed over can be reconsidered unless for strong reasons, it is </w:t>
      </w: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recorded that he be never appointed.</w:t>
      </w:r>
    </w:p>
    <w:p>
      <w:pPr>
        <w:spacing w:before="64" w:after="0" w:line="220" w:lineRule="exact"/>
        <w:ind w:left="772" w:right="1636" w:firstLine="379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13. The recommendations made by the CJI without complying with the norms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and requirements, are not binding on the Government of India.</w:t>
      </w:r>
    </w:p>
    <w:p>
      <w:pPr>
        <w:tabs>
          <w:tab w:val="left" w:pos="2649"/>
        </w:tabs>
        <w:spacing w:before="40" w:after="0" w:line="220" w:lineRule="exact"/>
        <w:ind w:left="1132" w:right="1636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99th Constitutional (Amendment) Act, 20144A and the National judicial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29"/>
          <w:sz w:val="16"/>
          <w:szCs w:val="16"/>
        </w:rPr>
        <w:t xml:space="preserve">Appointment Commission Act, 20144E were enacted with a</w:t>
      </w:r>
    </w:p>
    <w:p>
      <w:pPr>
        <w:spacing w:before="0" w:after="0" w:line="126" w:lineRule="exact"/>
        <w:ind w:left="806"/>
      </w:pPr>
      <w:r>
        <w:rPr>
          <w:rFonts w:ascii="Times New Roman" w:hAnsi="Times New Roman" w:cs="Times New Roman"/>
          <w:b/>
          <w:color w:val="000000"/>
          <w:spacing w:val="0"/>
          <w:w w:val="117"/>
          <w:sz w:val="14"/>
          <w:szCs w:val="14"/>
        </w:rPr>
        <w:t xml:space="preserve">NJAC Judgment.</w:t>
      </w:r>
    </w:p>
    <w:p>
      <w:pPr>
        <w:spacing w:before="0" w:after="0" w:line="200" w:lineRule="exact"/>
        <w:ind w:left="2649" w:right="1646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view to bring more transparency in the judicial appointments.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(see chapter 4).</w:t>
      </w:r>
    </w:p>
    <w:p>
      <w:pPr>
        <w:spacing w:before="0" w:after="0" w:line="208" w:lineRule="exact"/>
        <w:ind w:left="768" w:right="1640" w:firstLine="369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t xml:space="preserve">In Article 124, for the words "after consultation with such of the judges of the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Supreme Court and of the high courts in the States as the President may deem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necessary for the purpose", the words, figures and letter "on the recommendation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of the National Judicial Appointments Commission referred to in article 124A" were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substituted. Further, three new Articles viz. Articles 124A, 124B and 124C were also </w:t>
      </w:r>
      <w:r>
        <w:rPr>
          <w:rFonts w:ascii="Times New Roman" w:hAnsi="Times New Roman" w:cs="Times New Roman"/>
          <w:color w:val="000000"/>
          <w:spacing w:val="0"/>
          <w:w w:val="126"/>
          <w:sz w:val="16"/>
          <w:szCs w:val="16"/>
        </w:rPr>
        <w:t xml:space="preserve">inserted in the Constitution which are as under:</w:t>
      </w:r>
    </w:p>
    <w:p>
      <w:pPr>
        <w:tabs>
          <w:tab w:val="left" w:pos="2385"/>
        </w:tabs>
        <w:spacing w:before="61" w:after="0" w:line="180" w:lineRule="exact"/>
        <w:ind w:left="1488" w:right="1645" w:firstLine="379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124A.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(1) There shall be a Commission to be known as the National Judicial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Appointments Commission consisting of the following, namely:—</w:t>
      </w:r>
    </w:p>
    <w:p>
      <w:pPr>
        <w:tabs>
          <w:tab w:val="left" w:pos="2222"/>
        </w:tabs>
        <w:spacing w:before="88" w:after="0" w:line="184" w:lineRule="exact"/>
        <w:ind w:left="1776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(a)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the ChiefJustice of India, Chairperson, ex officio;</w:t>
      </w:r>
    </w:p>
    <w:p>
      <w:pPr>
        <w:tabs>
          <w:tab w:val="left" w:pos="2222"/>
        </w:tabs>
        <w:spacing w:before="75" w:after="0" w:line="184" w:lineRule="exact"/>
        <w:ind w:left="1776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(b)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two other senior Judges of the Supreme Court next to the Chief Justice of</w:t>
      </w:r>
    </w:p>
    <w:p>
      <w:pPr>
        <w:spacing w:before="13" w:after="0" w:line="184" w:lineRule="exact"/>
        <w:ind w:left="1776" w:firstLine="446"/>
        <w:ind w:right="0"/>
      </w:pP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India—Members, ex officio;</w:t>
      </w:r>
    </w:p>
    <w:p>
      <w:pPr>
        <w:tabs>
          <w:tab w:val="left" w:pos="2222"/>
        </w:tabs>
        <w:spacing w:before="65" w:after="0" w:line="184" w:lineRule="exact"/>
        <w:ind w:left="1776" w:firstLine="0"/>
        <w:ind w:right="0"/>
      </w:pPr>
      <w:r>
        <w:rPr>
          <w:rFonts w:ascii="Times New Roman" w:hAnsi="Times New Roman" w:cs="Times New Roman"/>
          <w:i/>
          <w:color w:val="000000"/>
          <w:spacing w:val="0"/>
          <w:w w:val="119"/>
          <w:sz w:val="16"/>
          <w:szCs w:val="16"/>
        </w:rPr>
        <w:t xml:space="preserve">(c)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the Union Minister in charge of Law and Justice—Member, ex officio;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