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12"/>
        <w:rPr>
          <w:sz w:val="24"/>
          <w:szCs w:val="24"/>
        </w:rPr>
      </w:pPr>
    </w:p>
    <w:p>
      <w:pPr>
        <w:spacing w:before="0" w:after="0" w:line="207" w:lineRule="exact"/>
        <w:ind w:left="1012"/>
        <w:rPr>
          <w:sz w:val="24"/>
          <w:szCs w:val="24"/>
        </w:rPr>
      </w:pPr>
    </w:p>
    <w:p>
      <w:pPr>
        <w:tabs>
          <w:tab w:val="left" w:pos="2188"/>
          <w:tab w:val="left" w:pos="7401"/>
        </w:tabs>
        <w:spacing w:before="18" w:after="0" w:line="207" w:lineRule="exact"/>
        <w:ind w:left="101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302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22</w:t>
      </w:r>
    </w:p>
    <w:p>
      <w:pPr>
        <w:spacing w:before="0" w:after="0" w:line="184" w:lineRule="exact"/>
        <w:ind w:left="2016"/>
        <w:rPr>
          <w:sz w:val="24"/>
          <w:szCs w:val="24"/>
        </w:rPr>
      </w:pPr>
    </w:p>
    <w:p>
      <w:pPr>
        <w:tabs>
          <w:tab w:val="left" w:pos="2462"/>
        </w:tabs>
        <w:spacing w:before="84" w:after="0" w:line="184" w:lineRule="exact"/>
        <w:ind w:left="2016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(d)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two eminent persons to be nominated by the committee consisting of the</w:t>
      </w:r>
    </w:p>
    <w:p>
      <w:pPr>
        <w:spacing w:before="9" w:after="0" w:line="193" w:lineRule="exact"/>
        <w:ind w:left="2457" w:right="1396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Prime Minister, the Chief Justice of India and the Leader of Opposition in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the House of the People or where there is no such Leader of Opposition,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then, the Leader of single largest Opposition Party in the House of the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People— Members:</w:t>
      </w:r>
    </w:p>
    <w:p>
      <w:pPr>
        <w:spacing w:before="70" w:after="0" w:line="190" w:lineRule="exact"/>
        <w:ind w:left="1732" w:right="1396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Provided that one of the eminent person shall be nominated from amongst the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persons belonging to the Scheduled Castes, the Scheduled Tribes, Other Backward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Classes, Minorities or Women:</w:t>
      </w:r>
    </w:p>
    <w:p>
      <w:pPr>
        <w:spacing w:before="62" w:after="0" w:line="200" w:lineRule="exact"/>
        <w:ind w:left="1737" w:right="1377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Provided further that an eminent person shall be nominated for a period of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three years and shall not be eligible for renomination.</w:t>
      </w:r>
    </w:p>
    <w:p>
      <w:pPr>
        <w:spacing w:before="69" w:after="0" w:line="190" w:lineRule="exact"/>
        <w:ind w:left="1728" w:right="1386" w:firstLine="388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(2) No act or proceedings of the National Judicial Appointments Commission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shall be questioned or be invalidated merely on the ground of the existence of any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vacancy or defect in the constitution of the Commission.</w:t>
      </w:r>
    </w:p>
    <w:p>
      <w:pPr>
        <w:spacing w:before="75" w:after="0" w:line="184" w:lineRule="exact"/>
        <w:ind w:left="2107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124B. It shall be the duty of the National Judicial Appointments Commission to—</w:t>
      </w:r>
    </w:p>
    <w:p>
      <w:pPr>
        <w:tabs>
          <w:tab w:val="left" w:pos="2462"/>
        </w:tabs>
        <w:spacing w:before="56" w:after="0" w:line="184" w:lineRule="exact"/>
        <w:ind w:left="2016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(a)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recommend persons for appointment as Chief Justice of India, Judges of</w:t>
      </w:r>
    </w:p>
    <w:p>
      <w:pPr>
        <w:spacing w:before="40" w:after="0" w:line="180" w:lineRule="exact"/>
        <w:ind w:left="2462" w:right="1377"/>
        <w:jc w:val="both"/>
      </w:pP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the Supreme Court, Chief Justices of High Courts and other Judges of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High Courts;</w:t>
      </w:r>
    </w:p>
    <w:p>
      <w:pPr>
        <w:tabs>
          <w:tab w:val="left" w:pos="2462"/>
        </w:tabs>
        <w:spacing w:before="77" w:after="0" w:line="184" w:lineRule="exact"/>
        <w:ind w:left="2016"/>
      </w:pP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(b)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recommend transfer of Chief Justices and other Judges of High Courts</w:t>
      </w:r>
    </w:p>
    <w:p>
      <w:pPr>
        <w:spacing w:before="16" w:after="0" w:line="184" w:lineRule="exact"/>
        <w:ind w:left="2457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from one High Court to any other High Court; and</w:t>
      </w:r>
    </w:p>
    <w:p>
      <w:pPr>
        <w:tabs>
          <w:tab w:val="left" w:pos="2462"/>
        </w:tabs>
        <w:spacing w:before="76" w:after="0" w:line="184" w:lineRule="exact"/>
        <w:ind w:left="2016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(c)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ensure that the person recommended is of ability and integrity.</w:t>
      </w:r>
    </w:p>
    <w:p>
      <w:pPr>
        <w:spacing w:before="72" w:after="0" w:line="190" w:lineRule="exact"/>
        <w:ind w:left="1737" w:right="1372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124G. Parliament may by law, regulate the procedure for the appointment of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Chief Justice of India and other Judges of the Supreme Court and Chief Justices and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other Judges of High Courts and empower the Commission to lay down by regulations</w:t>
      </w:r>
    </w:p>
    <w:p>
      <w:pPr>
        <w:spacing w:before="2" w:after="0" w:line="200" w:lineRule="exact"/>
        <w:ind w:left="1728" w:right="1395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the procedure for the discharge of its functions, the manner of selection of persons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for appointment and such other matters as may be considered necessary by it.</w:t>
      </w:r>
    </w:p>
    <w:p>
      <w:pPr>
        <w:spacing w:before="52" w:after="0" w:line="210" w:lineRule="exact"/>
        <w:ind w:left="974" w:right="1391" w:firstLine="388"/>
        <w:jc w:val="both"/>
      </w:pPr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As per the amended provisions of the Constitution, the Commission was to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consist of a) Chief Justice of India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(Chairperson,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ex officio),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b) Two other senior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judges of the Supreme Court next to the Chief Justice of India —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ex officio, c)</w:t>
      </w:r>
    </w:p>
    <w:p>
      <w:pPr>
        <w:spacing w:before="0" w:after="0" w:line="205" w:lineRule="exact"/>
        <w:ind w:left="998" w:right="1386" w:firstLine="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Union Minister of Law and Justice, </w:t>
      </w:r>
      <w:r>
        <w:rPr>
          <w:rFonts w:ascii="Times New Roman" w:hAnsi="Times New Roman" w:cs="Times New Roman"/>
          <w:i/>
          <w:color w:val="000000"/>
          <w:spacing w:val="2"/>
          <w:w w:val="129"/>
          <w:sz w:val="16"/>
          <w:szCs w:val="16"/>
        </w:rPr>
        <w:t xml:space="preserve">ex-officio,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d) Two eminent persons (to be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nominated by a committee consisting of the Chief Justice of India, Prime Minister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of India and the Leader of opposition in the Lok Sabha or where there is no such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Leader of Opposition, then, the Leader of single largest Opposition Party in Lok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Sabha), provided that of the two eminent persons, one person would be from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Scheduled Castes or Scheduled Tribes or OBC or minority communities or a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woman. The eminent persons shall be nominated for a period of three years 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shall not be eligible for re-nomination.</w:t>
      </w:r>
    </w:p>
    <w:p>
      <w:pPr>
        <w:spacing w:before="68" w:after="0" w:line="208" w:lineRule="exact"/>
        <w:ind w:left="1008" w:right="1381" w:firstLine="355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As per the amended Constitution, the functions of the Commission were to (i)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recommend persons for appointment as ChiefJustice of India, udges of the Supreme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Court, Chief Justices of high courts and other judges of high courts, (ii) recommend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transfer of Chief Justices and other judges of high courts from one high court to any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other high court and (iii) ensure that the persons recommended are of ability, merit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and other criteria mentioned in the regulations related to the Act.</w:t>
      </w:r>
    </w:p>
    <w:p>
      <w:pPr>
        <w:spacing w:before="99" w:after="0" w:line="200" w:lineRule="exact"/>
        <w:ind w:left="979" w:right="1391" w:firstLine="393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However, it is noteworthy that several writ petitions were filed in the Supreme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Court challenging the 99th Constitutional Amendment, 2014 and the National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Judicial Appointment Commission Act, 2014, and disposing of the above appeals,</w:t>
      </w:r>
    </w:p>
    <w:p>
      <w:pPr>
        <w:tabs>
          <w:tab w:val="left" w:pos="6638"/>
        </w:tabs>
        <w:spacing w:before="0" w:after="0" w:line="206" w:lineRule="exact"/>
        <w:ind w:left="1017" w:right="1367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the five judge Bench of the Supreme Court declared the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6"/>
          <w:w w:val="133"/>
          <w:sz w:val="16"/>
          <w:szCs w:val="16"/>
        </w:rPr>
        <w:t xml:space="preserve">99th Amendment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to be unconstitutional on the grounds that it violates the basic principles of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"Independence of Judiciary" and "Separation of Powers" which in turn violates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the basic structure of the Indian Constitution.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(Refer chapter 4).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