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1003"/>
        <w:rPr>
          <w:sz w:val="24"/>
          <w:szCs w:val="24"/>
        </w:rPr>
      </w:pPr>
    </w:p>
    <w:p>
      <w:pPr>
        <w:tabs>
          <w:tab w:val="left" w:pos="2183"/>
          <w:tab w:val="left" w:pos="7392"/>
        </w:tabs>
        <w:spacing w:before="113" w:after="0" w:line="184" w:lineRule="exact"/>
        <w:ind w:left="1003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306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[CHAP. 22</w:t>
      </w:r>
    </w:p>
    <w:p>
      <w:pPr>
        <w:spacing w:before="0" w:after="0" w:line="205" w:lineRule="exact"/>
        <w:ind w:left="984"/>
        <w:rPr>
          <w:sz w:val="24"/>
          <w:szCs w:val="24"/>
        </w:rPr>
      </w:pPr>
    </w:p>
    <w:p>
      <w:pPr>
        <w:spacing w:before="84" w:after="0" w:line="205" w:lineRule="exact"/>
        <w:ind w:left="984" w:right="1376" w:firstLine="1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decisions of the Court of Appeal lie to the House of Lords only if the Court of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Appeal or the House of Lords grants leave to appeal. Under Article 133(1) of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Constitution as it originally stood, an appeal to the Supreme Court lay as of right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in cases of higher value 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(as certified by the high court). But this value test and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category of appeal as of right has been abolished by the amendment of 1972,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under which appeal from the decision of a high court in a civil matter will lie to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Supreme Court only if the high court certifies that the case involves "a substantial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question of law of general importance" and that "the said question needs to be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decided by the Supreme Court".8 The Supreme Court can not interfere, with the </w:t>
      </w:r>
      <w:r>
        <w:rPr>
          <w:rFonts w:ascii="Times New Roman" w:hAnsi="Times New Roman" w:cs="Times New Roman"/>
          <w:color w:val="000000"/>
          <w:spacing w:val="0"/>
          <w:w w:val="100"/>
          <w:sz w:val="16"/>
          <w:szCs w:val="16"/>
        </w:rPr>
        <w:t xml:space="preserve">f</w:t>
      </w:r>
      <w:r>
        <w:rPr>
          <w:rFonts w:ascii="Times New Roman" w:hAnsi="Times New Roman" w:cs="Times New Roman"/>
          <w:color w:val="000000"/>
          <w:spacing w:val="0"/>
          <w:w w:val="100"/>
          <w:sz w:val="16"/>
          <w:szCs w:val="16"/>
        </w:rPr>
        <w:t xml:space="preserve">i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nding of fact, arrived at by the final court of fact and affirmed by the high court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in second appeal unless there is some infirmity for which the court can hold the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findings arbitrary or perverse.13</w:t>
      </w:r>
    </w:p>
    <w:p>
      <w:pPr>
        <w:spacing w:before="80" w:after="0" w:line="200" w:lineRule="exact"/>
        <w:ind w:left="988" w:right="1406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But the right of the Supreme Court to entertain appeal,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by special leave,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in any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cause or matter determined by any court or tribunal in India, save military tribunals,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is unlimited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136].</w:t>
      </w:r>
    </w:p>
    <w:p>
      <w:pPr>
        <w:spacing w:before="114" w:after="0" w:line="184" w:lineRule="exact"/>
        <w:ind w:left="1339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As against unconstitutional acts of the Executive the jurisdiction of the courts is</w:t>
      </w:r>
    </w:p>
    <w:p>
      <w:pPr>
        <w:tabs>
          <w:tab w:val="left" w:pos="2880"/>
        </w:tabs>
        <w:spacing w:before="60" w:after="0" w:line="184" w:lineRule="exact"/>
        <w:ind w:left="1027" w:firstLine="9"/>
        <w:ind w:right="0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(iii) </w:t>
      </w:r>
      <w:r>
        <w:rPr>
          <w:rFonts w:ascii="Times New Roman" w:hAnsi="Times New Roman" w:cs="Times New Roman"/>
          <w:b/>
          <w:color w:val="000000"/>
          <w:spacing w:val="0"/>
          <w:w w:val="126"/>
          <w:sz w:val="14"/>
          <w:szCs w:val="14"/>
        </w:rPr>
        <w:t xml:space="preserve">As a Guardian of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nearly the same under all constitutional systems. But not so is</w:t>
      </w:r>
    </w:p>
    <w:p>
      <w:pPr>
        <w:tabs>
          <w:tab w:val="left" w:pos="2875"/>
        </w:tabs>
        <w:spacing w:before="1" w:after="0" w:line="150" w:lineRule="exact"/>
        <w:ind w:left="1027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26"/>
          <w:sz w:val="14"/>
          <w:szCs w:val="14"/>
        </w:rPr>
        <w:t xml:space="preserve">the Constitution.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control of the Judiciary over the Legislature.</w:t>
      </w:r>
    </w:p>
    <w:p>
      <w:pPr>
        <w:spacing w:before="107" w:after="0" w:line="203" w:lineRule="exact"/>
        <w:ind w:left="979" w:right="1415" w:firstLine="369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It is true that there is no express provision in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Constitution empowering the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courts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to invalidate laws; but the Constitution has imposed definite limitations upon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each of the organs of the state, and any transgression of those limitations would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make the law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6"/>
          <w:szCs w:val="16"/>
        </w:rPr>
        <w:t xml:space="preserve">void.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It is for the courts to decide whether any of the constitutional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limitations has been transgressed or not,14 because the Constitution is the organic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law subject to which ordinary laws are made by the Legislature which itself is set up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by the Constitution.</w:t>
      </w:r>
    </w:p>
    <w:p>
      <w:pPr>
        <w:spacing w:before="96" w:after="0" w:line="205" w:lineRule="exact"/>
        <w:ind w:left="979" w:right="1415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Thus, Article 13 declares that any law which contravenes any of the provisions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of the Part on Fundamental Rights, shall be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void.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But, as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Supreme Court has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observed,' even without the specific provision in Article 13 (which has been inserted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only by way of abundant caution), the court would have the powers to declare any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enactment which transgresses a fundamental right as invalid.</w:t>
      </w:r>
    </w:p>
    <w:p>
      <w:pPr>
        <w:spacing w:before="80" w:after="0" w:line="200" w:lineRule="exact"/>
        <w:ind w:left="979" w:right="1429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Similarly, Article 254 says that in case of inconsistency between Union and State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laws in certain cases, the State law shall be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void.</w:t>
      </w:r>
    </w:p>
    <w:p>
      <w:pPr>
        <w:spacing w:before="76" w:after="0" w:line="206" w:lineRule="exact"/>
        <w:ind w:left="974" w:right="1425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limitations imposed by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Constitution upon the powers of Legislatures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are — (a) Fundamental rights conferred by Part III. (b) Legislative competence. (c)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Specific provisions of the Constitution imposing limitations relating to pailicular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matters.'</w:t>
      </w:r>
    </w:p>
    <w:p>
      <w:pPr>
        <w:spacing w:before="71" w:after="0" w:line="210" w:lineRule="exact"/>
        <w:ind w:left="974" w:right="1430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It is clear from the above that (apart from the jurisdiction to issue the writs to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enforce the fundamental rights, which has been explained earlier) the jurisdiction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of the Supreme Court is three-fold: (a) Original; (b) Appellate; and (c) Advisory.</w:t>
      </w:r>
    </w:p>
    <w:p>
      <w:pPr>
        <w:tabs>
          <w:tab w:val="left" w:pos="2860"/>
        </w:tabs>
        <w:spacing w:before="70" w:after="0" w:line="210" w:lineRule="exact"/>
        <w:ind w:left="979" w:right="1410" w:firstLine="355"/>
        <w:jc w:val="left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Original jurisdiction of the Supreme Court is dealt with in Article 131 of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Constitution. The functions of the Supreme Court under Article 131 are purely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of a federal character and are confined to disputes between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66" w:lineRule="exact"/>
        <w:ind w:left="1012" w:right="6" w:firstLine="388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3"/>
          <w:sz w:val="14"/>
          <w:szCs w:val="14"/>
        </w:rPr>
        <w:t xml:space="preserve">Original   Juris-</w:t>
      </w:r>
      <w:br/>
      <w:r>
        <w:rPr>
          <w:rFonts w:ascii="Times New Roman" w:hAnsi="Times New Roman" w:cs="Times New Roman"/>
          <w:b/>
          <w:color w:val="000000"/>
          <w:spacing w:val="0"/>
          <w:w w:val="122"/>
          <w:sz w:val="14"/>
          <w:szCs w:val="14"/>
        </w:rPr>
        <w:t xml:space="preserve">diction </w:t>
      </w:r>
      <w:r>
        <w:rPr>
          <w:rFonts w:ascii="Times New Roman" w:hAnsi="Times New Roman" w:cs="Times New Roman"/>
          <w:b/>
          <w:color w:val="000000"/>
          <w:spacing w:val="0"/>
          <w:w w:val="125"/>
          <w:sz w:val="14"/>
          <w:szCs w:val="14"/>
        </w:rPr>
        <w:t xml:space="preserve">of  Supreme </w:t>
      </w:r>
      <w:br/>
      <w:r>
        <w:rPr>
          <w:rFonts w:ascii="Times New Roman" w:hAnsi="Times New Roman" w:cs="Times New Roman"/>
          <w:b/>
          <w:color w:val="000000"/>
          <w:spacing w:val="0"/>
          <w:w w:val="121"/>
          <w:sz w:val="14"/>
          <w:szCs w:val="14"/>
        </w:rPr>
        <w:t xml:space="preserve">Court.</w:t>
      </w:r>
    </w:p>
    <w:p>
      <w:pPr>
        <w:spacing w:before="5" w:after="0" w:line="208" w:lineRule="exact"/>
        <w:ind w:left="10" w:right="1308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br w:type="column"/>
        <w:t xml:space="preserve">the Government of India and any of the States of the Union,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Government of India and any State or States on one side </w:t>
      </w:r>
      <w:br/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and any other State or States on the other side, or between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690" w:space="160" w:equalWidth="0"/>
            <w:col w:w="6770" w:space="160" w:equalWidth="0"/>
          </w:cols>
        </w:sectPr>
      </w:pPr>
    </w:p>
    <w:p>
      <w:pPr>
        <w:spacing w:before="0" w:after="0" w:line="205" w:lineRule="exact"/>
        <w:ind w:left="969" w:right="1439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two or more States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inter se.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In short, these are disputes between different units of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federation which will be within the exclusive original jurisdiction of the Supreme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Court. The Original jurisdiction of the Supreme Court will be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exclusive,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which means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that no other court in India shall have the power to entertain any such suit. On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other hand, the Supreme Court in its original jurisdiction will not be entitled to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