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07" w:lineRule="exact"/>
        <w:ind w:left="796"/>
        <w:rPr>
          <w:sz w:val="24"/>
          <w:szCs w:val="24"/>
        </w:rPr>
      </w:pPr>
    </w:p>
    <w:p>
      <w:pPr>
        <w:spacing w:before="0" w:after="0" w:line="207" w:lineRule="exact"/>
        <w:ind w:left="796"/>
        <w:rPr>
          <w:sz w:val="24"/>
          <w:szCs w:val="24"/>
        </w:rPr>
      </w:pPr>
    </w:p>
    <w:p>
      <w:pPr>
        <w:tabs>
          <w:tab w:val="left" w:pos="3849"/>
          <w:tab w:val="left" w:pos="7747"/>
        </w:tabs>
        <w:spacing w:before="22" w:after="0" w:line="207" w:lineRule="exact"/>
        <w:ind w:left="796" w:firstLine="0"/>
        <w:ind w:right="0"/>
      </w:pPr>
      <w:r>
        <w:rPr>
          <w:rFonts w:ascii="Times New Roman" w:hAnsi="Times New Roman" w:cs="Times New Roman"/>
          <w:b/>
          <w:color w:val="000000"/>
          <w:spacing w:val="-4"/>
          <w:w w:val="100"/>
          <w:sz w:val="18"/>
          <w:szCs w:val="18"/>
        </w:rPr>
        <w:t xml:space="preserve">CHAP. 22]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b/>
          <w:color w:val="000000"/>
          <w:spacing w:val="-4"/>
          <w:w w:val="100"/>
          <w:sz w:val="18"/>
          <w:szCs w:val="18"/>
        </w:rPr>
        <w:t xml:space="preserve">THE SUPREME COURT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-4"/>
          <w:w w:val="100"/>
          <w:sz w:val="18"/>
          <w:szCs w:val="18"/>
        </w:rPr>
        <w:t xml:space="preserve">309</w:t>
      </w:r>
    </w:p>
    <w:p>
      <w:pPr>
        <w:spacing w:before="0" w:after="0" w:line="210" w:lineRule="exact"/>
        <w:ind w:left="796"/>
        <w:rPr>
          <w:sz w:val="24"/>
          <w:szCs w:val="24"/>
        </w:rPr>
      </w:pPr>
    </w:p>
    <w:p>
      <w:pPr>
        <w:spacing w:before="33" w:after="0" w:line="210" w:lineRule="exact"/>
        <w:ind w:left="796" w:right="1582"/>
        <w:jc w:val="both"/>
      </w:pP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f</w:t>
      </w: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i</w:t>
      </w:r>
      <w:r>
        <w:rPr>
          <w:rFonts w:ascii="Times New Roman" w:hAnsi="Times New Roman" w:cs="Times New Roman"/>
          <w:color w:val="000000"/>
          <w:spacing w:val="0"/>
          <w:w w:val="124"/>
          <w:sz w:val="18"/>
          <w:szCs w:val="18"/>
        </w:rPr>
        <w:t xml:space="preserve">rst time provides for an appeal to the Supreme Court from any judgment, final </w:t>
      </w:r>
      <w:r>
        <w:rPr>
          <w:rFonts w:ascii="Times New Roman" w:hAnsi="Times New Roman" w:cs="Times New Roman"/>
          <w:color w:val="000000"/>
          <w:spacing w:val="0"/>
          <w:w w:val="126"/>
          <w:sz w:val="18"/>
          <w:szCs w:val="18"/>
        </w:rPr>
        <w:t xml:space="preserve">order or sentence in a criminal proceeding of a high court, as of right, in two </w:t>
      </w:r>
      <w:r>
        <w:rPr>
          <w:rFonts w:ascii="Times New Roman" w:hAnsi="Times New Roman" w:cs="Times New Roman"/>
          <w:color w:val="000000"/>
          <w:spacing w:val="0"/>
          <w:w w:val="113"/>
          <w:sz w:val="18"/>
          <w:szCs w:val="18"/>
        </w:rPr>
        <w:t xml:space="preserve">specified classes of cases —</w:t>
      </w:r>
    </w:p>
    <w:p>
      <w:pPr>
        <w:spacing w:before="99" w:after="0" w:line="200" w:lineRule="exact"/>
        <w:ind w:left="796" w:right="1587" w:firstLine="388"/>
        <w:jc w:val="both"/>
      </w:pPr>
      <w:r>
        <w:rPr>
          <w:rFonts w:ascii="Times New Roman" w:hAnsi="Times New Roman" w:cs="Times New Roman"/>
          <w:color w:val="000000"/>
          <w:spacing w:val="0"/>
          <w:w w:val="122"/>
          <w:sz w:val="18"/>
          <w:szCs w:val="18"/>
        </w:rPr>
        <w:t xml:space="preserve">(a) where the high court has on an appeal reversed an order of acquittal of an </w:t>
      </w:r>
      <w:r>
        <w:rPr>
          <w:rFonts w:ascii="Times New Roman" w:hAnsi="Times New Roman" w:cs="Times New Roman"/>
          <w:color w:val="000000"/>
          <w:spacing w:val="0"/>
          <w:w w:val="121"/>
          <w:sz w:val="18"/>
          <w:szCs w:val="18"/>
        </w:rPr>
        <w:t xml:space="preserve">accused person and sentenced him to death;</w:t>
      </w:r>
    </w:p>
    <w:p>
      <w:pPr>
        <w:spacing w:before="72" w:after="0" w:line="210" w:lineRule="exact"/>
        <w:ind w:left="796" w:right="1577" w:firstLine="388"/>
        <w:jc w:val="both"/>
      </w:pPr>
      <w:r>
        <w:rPr>
          <w:rFonts w:ascii="Times New Roman" w:hAnsi="Times New Roman" w:cs="Times New Roman"/>
          <w:color w:val="000000"/>
          <w:spacing w:val="0"/>
          <w:w w:val="119"/>
          <w:sz w:val="18"/>
          <w:szCs w:val="18"/>
        </w:rPr>
        <w:t xml:space="preserve">(b) where the high court has withdrawn for trial before itself any case from any </w:t>
      </w:r>
      <w:r>
        <w:rPr>
          <w:rFonts w:ascii="Times New Roman" w:hAnsi="Times New Roman" w:cs="Times New Roman"/>
          <w:color w:val="000000"/>
          <w:spacing w:val="0"/>
          <w:w w:val="123"/>
          <w:sz w:val="18"/>
          <w:szCs w:val="18"/>
        </w:rPr>
        <w:t xml:space="preserve">court subordinate to its authority and has in such trial convicted the accused and </w:t>
      </w:r>
      <w:r>
        <w:rPr>
          <w:rFonts w:ascii="Times New Roman" w:hAnsi="Times New Roman" w:cs="Times New Roman"/>
          <w:color w:val="000000"/>
          <w:spacing w:val="0"/>
          <w:w w:val="122"/>
          <w:sz w:val="18"/>
          <w:szCs w:val="18"/>
        </w:rPr>
        <w:t xml:space="preserve">sentenced him to death.</w:t>
      </w:r>
    </w:p>
    <w:p>
      <w:pPr>
        <w:spacing w:before="79" w:after="0" w:line="200" w:lineRule="exact"/>
        <w:ind w:left="796" w:right="1592" w:firstLine="364"/>
        <w:jc w:val="both"/>
      </w:pPr>
      <w:r>
        <w:rPr>
          <w:rFonts w:ascii="Times New Roman" w:hAnsi="Times New Roman" w:cs="Times New Roman"/>
          <w:color w:val="000000"/>
          <w:spacing w:val="0"/>
          <w:w w:val="122"/>
          <w:sz w:val="18"/>
          <w:szCs w:val="18"/>
        </w:rPr>
        <w:t xml:space="preserve">In these two classes of cases relating to a sentence of death by the high court, </w:t>
      </w:r>
      <w:r>
        <w:rPr>
          <w:rFonts w:ascii="Times New Roman" w:hAnsi="Times New Roman" w:cs="Times New Roman"/>
          <w:color w:val="000000"/>
          <w:spacing w:val="0"/>
          <w:w w:val="119"/>
          <w:sz w:val="18"/>
          <w:szCs w:val="18"/>
        </w:rPr>
        <w:t xml:space="preserve">appeal lies to the Supreme Court as of right.</w:t>
      </w:r>
    </w:p>
    <w:p>
      <w:pPr>
        <w:spacing w:before="76" w:after="0" w:line="205" w:lineRule="exact"/>
        <w:ind w:left="787" w:right="1562" w:firstLine="374"/>
        <w:jc w:val="both"/>
      </w:pPr>
      <w:r>
        <w:rPr>
          <w:rFonts w:ascii="Times New Roman" w:hAnsi="Times New Roman" w:cs="Times New Roman"/>
          <w:color w:val="000000"/>
          <w:spacing w:val="0"/>
          <w:w w:val="115"/>
          <w:sz w:val="18"/>
          <w:szCs w:val="18"/>
        </w:rPr>
        <w:t xml:space="preserve">Besides the above two classes of cases, an appeal may lie to the Supreme Court in </w:t>
      </w:r>
      <w:r>
        <w:rPr>
          <w:rFonts w:ascii="Times New Roman" w:hAnsi="Times New Roman" w:cs="Times New Roman"/>
          <w:color w:val="000000"/>
          <w:spacing w:val="0"/>
          <w:w w:val="118"/>
          <w:sz w:val="18"/>
          <w:szCs w:val="18"/>
        </w:rPr>
        <w:t xml:space="preserve">any criminal case if the high court certifies that the case is a fit one for appeal to the </w:t>
      </w:r>
      <w:r>
        <w:rPr>
          <w:rFonts w:ascii="Times New Roman" w:hAnsi="Times New Roman" w:cs="Times New Roman"/>
          <w:color w:val="000000"/>
          <w:spacing w:val="0"/>
          <w:w w:val="121"/>
          <w:sz w:val="18"/>
          <w:szCs w:val="18"/>
        </w:rPr>
        <w:t xml:space="preserve">Supreme Court. The certificate of the high court would, of course, be granted only </w:t>
      </w:r>
      <w:r>
        <w:rPr>
          <w:rFonts w:ascii="Times New Roman" w:hAnsi="Times New Roman" w:cs="Times New Roman"/>
          <w:color w:val="000000"/>
          <w:spacing w:val="0"/>
          <w:w w:val="121"/>
          <w:sz w:val="18"/>
          <w:szCs w:val="18"/>
        </w:rPr>
        <w:t xml:space="preserve">where some substantial question of law or some matter of great public importance </w:t>
      </w:r>
      <w:r>
        <w:rPr>
          <w:rFonts w:ascii="Times New Roman" w:hAnsi="Times New Roman" w:cs="Times New Roman"/>
          <w:color w:val="000000"/>
          <w:spacing w:val="0"/>
          <w:w w:val="118"/>
          <w:sz w:val="18"/>
          <w:szCs w:val="18"/>
        </w:rPr>
        <w:t xml:space="preserve">or the infringement of some essential principles of justice are involved. Appeal may </w:t>
      </w:r>
      <w:r>
        <w:rPr>
          <w:rFonts w:ascii="Times New Roman" w:hAnsi="Times New Roman" w:cs="Times New Roman"/>
          <w:color w:val="000000"/>
          <w:spacing w:val="0"/>
          <w:w w:val="124"/>
          <w:sz w:val="18"/>
          <w:szCs w:val="18"/>
        </w:rPr>
        <w:t xml:space="preserve">also lie to the Supreme Court (under </w:t>
      </w:r>
      <w:r>
        <w:rPr>
          <w:rFonts w:ascii="Times New Roman" w:hAnsi="Times New Roman" w:cs="Times New Roman"/>
          <w:i/>
          <w:color w:val="000000"/>
          <w:spacing w:val="0"/>
          <w:w w:val="124"/>
          <w:sz w:val="18"/>
          <w:szCs w:val="18"/>
        </w:rPr>
        <w:t xml:space="preserve">Article </w:t>
      </w:r>
      <w:r>
        <w:rPr>
          <w:rFonts w:ascii="Times New Roman" w:hAnsi="Times New Roman" w:cs="Times New Roman"/>
          <w:color w:val="000000"/>
          <w:spacing w:val="0"/>
          <w:w w:val="124"/>
          <w:sz w:val="18"/>
          <w:szCs w:val="18"/>
        </w:rPr>
        <w:t xml:space="preserve">132) from a criminal proceeding if </w:t>
      </w: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the high court certifies that the case involves a substantial question of law as to the </w:t>
      </w:r>
      <w:r>
        <w:rPr>
          <w:rFonts w:ascii="Times New Roman" w:hAnsi="Times New Roman" w:cs="Times New Roman"/>
          <w:color w:val="000000"/>
          <w:spacing w:val="0"/>
          <w:w w:val="119"/>
          <w:sz w:val="18"/>
          <w:szCs w:val="18"/>
        </w:rPr>
        <w:t xml:space="preserve">interpretation of the Constitution.</w:t>
      </w:r>
    </w:p>
    <w:p>
      <w:pPr>
        <w:spacing w:before="75" w:after="0" w:line="206" w:lineRule="exact"/>
        <w:ind w:left="791" w:right="1592" w:firstLine="364"/>
        <w:jc w:val="both"/>
      </w:pPr>
      <w:r>
        <w:rPr>
          <w:rFonts w:ascii="Times New Roman" w:hAnsi="Times New Roman" w:cs="Times New Roman"/>
          <w:color w:val="000000"/>
          <w:spacing w:val="0"/>
          <w:w w:val="124"/>
          <w:sz w:val="18"/>
          <w:szCs w:val="18"/>
        </w:rPr>
        <w:t xml:space="preserve">Except in the above cases, no appeal lies from a criminal proceeding of the </w:t>
      </w:r>
      <w:r>
        <w:rPr>
          <w:rFonts w:ascii="Times New Roman" w:hAnsi="Times New Roman" w:cs="Times New Roman"/>
          <w:color w:val="000000"/>
          <w:spacing w:val="0"/>
          <w:w w:val="124"/>
          <w:sz w:val="18"/>
          <w:szCs w:val="18"/>
        </w:rPr>
        <w:t xml:space="preserve">high court to the Supreme Court under the Constitution but Parliament has been </w:t>
      </w:r>
      <w:r>
        <w:rPr>
          <w:rFonts w:ascii="Times New Roman" w:hAnsi="Times New Roman" w:cs="Times New Roman"/>
          <w:color w:val="000000"/>
          <w:spacing w:val="0"/>
          <w:w w:val="123"/>
          <w:sz w:val="18"/>
          <w:szCs w:val="18"/>
        </w:rPr>
        <w:t xml:space="preserve">empowered to make any law conferring on the Supreme Court further powers to </w:t>
      </w:r>
      <w:r>
        <w:rPr>
          <w:rFonts w:ascii="Times New Roman" w:hAnsi="Times New Roman" w:cs="Times New Roman"/>
          <w:color w:val="000000"/>
          <w:spacing w:val="0"/>
          <w:w w:val="119"/>
          <w:sz w:val="18"/>
          <w:szCs w:val="18"/>
        </w:rPr>
        <w:t xml:space="preserve">hear appeals from criminal matters.</w:t>
      </w:r>
    </w:p>
    <w:p>
      <w:pPr>
        <w:spacing w:before="99" w:after="0" w:line="200" w:lineRule="exact"/>
        <w:ind w:left="796" w:right="1587" w:firstLine="350"/>
        <w:jc w:val="both"/>
      </w:pPr>
      <w:r>
        <w:rPr>
          <w:rFonts w:ascii="Times New Roman" w:hAnsi="Times New Roman" w:cs="Times New Roman"/>
          <w:color w:val="000000"/>
          <w:spacing w:val="0"/>
          <w:w w:val="119"/>
          <w:sz w:val="18"/>
          <w:szCs w:val="18"/>
        </w:rPr>
        <w:t xml:space="preserve">While the Constitution provides for regular appeals to the Supreme Court from </w:t>
      </w:r>
      <w:r>
        <w:rPr>
          <w:rFonts w:ascii="Times New Roman" w:hAnsi="Times New Roman" w:cs="Times New Roman"/>
          <w:color w:val="000000"/>
          <w:spacing w:val="0"/>
          <w:w w:val="119"/>
          <w:sz w:val="18"/>
          <w:szCs w:val="18"/>
        </w:rPr>
        <w:t xml:space="preserve">decisions of the high courts in Articles 132-134, there may still remain some cases</w:t>
      </w:r>
    </w:p>
    <w:p>
      <w:pPr>
        <w:spacing w:before="75" w:after="0" w:line="207" w:lineRule="exact"/>
        <w:ind w:left="844"/>
      </w:pPr>
      <w:r>
        <w:rPr>
          <w:rFonts w:ascii="Times New Roman" w:hAnsi="Times New Roman" w:cs="Times New Roman"/>
          <w:color w:val="000000"/>
          <w:spacing w:val="0"/>
          <w:w w:val="125"/>
          <w:sz w:val="18"/>
          <w:szCs w:val="18"/>
        </w:rPr>
        <w:t xml:space="preserve">(ii) </w:t>
      </w:r>
      <w:r>
        <w:rPr>
          <w:rFonts w:ascii="Times New Roman" w:hAnsi="Times New Roman" w:cs="Times New Roman"/>
          <w:color w:val="000000"/>
          <w:spacing w:val="0"/>
          <w:w w:val="125"/>
          <w:sz w:val="16"/>
          <w:szCs w:val="16"/>
        </w:rPr>
        <w:t xml:space="preserve">Appeal by Special </w:t>
      </w:r>
      <w:r>
        <w:rPr>
          <w:rFonts w:ascii="Times New Roman" w:hAnsi="Times New Roman" w:cs="Times New Roman"/>
          <w:color w:val="000000"/>
          <w:spacing w:val="0"/>
          <w:w w:val="125"/>
          <w:sz w:val="18"/>
          <w:szCs w:val="18"/>
        </w:rPr>
        <w:t xml:space="preserve"> w</w:t>
      </w:r>
      <w:r>
        <w:rPr>
          <w:rFonts w:ascii="Times New Roman" w:hAnsi="Times New Roman" w:cs="Times New Roman"/>
          <w:color w:val="000000"/>
          <w:spacing w:val="0"/>
          <w:w w:val="125"/>
          <w:sz w:val="27"/>
          <w:szCs w:val="27"/>
          <w:vertAlign w:val="superscript"/>
        </w:rPr>
        <w:t xml:space="preserve">here justice might </w:t>
      </w:r>
      <w:r>
        <w:rPr>
          <w:rFonts w:ascii="Times New Roman" w:hAnsi="Times New Roman" w:cs="Times New Roman"/>
          <w:color w:val="000000"/>
          <w:spacing w:val="0"/>
          <w:w w:val="125"/>
          <w:sz w:val="24"/>
          <w:szCs w:val="24"/>
          <w:vertAlign w:val="superscript"/>
        </w:rPr>
        <w:t xml:space="preserve">require the interference of </w:t>
      </w:r>
      <w:r>
        <w:rPr>
          <w:rFonts w:ascii="Times New Roman" w:hAnsi="Times New Roman" w:cs="Times New Roman"/>
          <w:color w:val="000000"/>
          <w:spacing w:val="0"/>
          <w:w w:val="125"/>
          <w:sz w:val="27"/>
          <w:szCs w:val="27"/>
          <w:vertAlign w:val="superscript"/>
        </w:rPr>
        <w:t xml:space="preserve">the Suprem</w:t>
      </w:r>
      <w:r>
        <w:rPr>
          <w:rFonts w:ascii="Times New Roman" w:hAnsi="Times New Roman" w:cs="Times New Roman"/>
          <w:color w:val="000000"/>
          <w:spacing w:val="0"/>
          <w:w w:val="125"/>
          <w:sz w:val="27"/>
          <w:szCs w:val="27"/>
          <w:vertAlign w:val="superscript"/>
        </w:rPr>
        <w:t xml:space="preserve">e</w:t>
      </w:r>
    </w:p>
    <w:p>
      <w:pPr>
        <w:tabs>
          <w:tab w:val="left" w:pos="2687"/>
        </w:tabs>
        <w:spacing w:before="1" w:after="0" w:line="182" w:lineRule="exact"/>
        <w:ind w:left="830" w:firstLine="0"/>
        <w:ind w:right="0"/>
      </w:pPr>
      <w:r>
        <w:rPr>
          <w:rFonts w:ascii="Times New Roman" w:hAnsi="Times New Roman" w:cs="Times New Roman"/>
          <w:b/>
          <w:color w:val="000000"/>
          <w:spacing w:val="0"/>
          <w:w w:val="101"/>
          <w:sz w:val="16"/>
          <w:szCs w:val="16"/>
        </w:rPr>
        <w:t xml:space="preserve">Leave.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22"/>
          <w:sz w:val="18"/>
          <w:szCs w:val="18"/>
        </w:rPr>
        <w:t xml:space="preserve">Court with decisions not only of the high courts outside the</w:t>
      </w:r>
    </w:p>
    <w:p>
      <w:pPr>
        <w:spacing w:before="0" w:after="0" w:line="162" w:lineRule="exact"/>
        <w:ind w:left="2678"/>
      </w:pPr>
      <w:r>
        <w:rPr>
          <w:rFonts w:ascii="Times New Roman" w:hAnsi="Times New Roman" w:cs="Times New Roman"/>
          <w:color w:val="000000"/>
          <w:spacing w:val="0"/>
          <w:w w:val="124"/>
          <w:sz w:val="18"/>
          <w:szCs w:val="18"/>
        </w:rPr>
        <w:t xml:space="preserve">purview of Articles 132-134 but also of any other court or</w:t>
      </w:r>
    </w:p>
    <w:p>
      <w:pPr>
        <w:spacing w:before="0" w:after="0" w:line="210" w:lineRule="exact"/>
        <w:ind w:left="791" w:right="1582" w:firstLine="4"/>
        <w:jc w:val="both"/>
      </w:pPr>
      <w:r>
        <w:rPr>
          <w:rFonts w:ascii="Times New Roman" w:hAnsi="Times New Roman" w:cs="Times New Roman"/>
          <w:color w:val="000000"/>
          <w:spacing w:val="0"/>
          <w:w w:val="118"/>
          <w:sz w:val="18"/>
          <w:szCs w:val="18"/>
        </w:rPr>
        <w:t xml:space="preserve">tribunal within the territory of India. Such residuary power outside the ordinary law </w:t>
      </w:r>
      <w:r>
        <w:rPr>
          <w:rFonts w:ascii="Times New Roman" w:hAnsi="Times New Roman" w:cs="Times New Roman"/>
          <w:color w:val="000000"/>
          <w:spacing w:val="0"/>
          <w:w w:val="119"/>
          <w:sz w:val="18"/>
          <w:szCs w:val="18"/>
        </w:rPr>
        <w:t xml:space="preserve">relating to appeal is conferred upon the Supreme Court by Article 136. This Article </w:t>
      </w:r>
      <w:r>
        <w:rPr>
          <w:rFonts w:ascii="Times New Roman" w:hAnsi="Times New Roman" w:cs="Times New Roman"/>
          <w:color w:val="000000"/>
          <w:spacing w:val="0"/>
          <w:w w:val="117"/>
          <w:sz w:val="18"/>
          <w:szCs w:val="18"/>
        </w:rPr>
        <w:t xml:space="preserve">is worded in the widest terms possible —</w:t>
      </w:r>
    </w:p>
    <w:p>
      <w:pPr>
        <w:spacing w:before="72" w:after="0" w:line="193" w:lineRule="exact"/>
        <w:ind w:left="1516" w:right="1608" w:firstLine="374"/>
        <w:jc w:val="both"/>
      </w:pPr>
      <w:r>
        <w:rPr>
          <w:rFonts w:ascii="Times New Roman" w:hAnsi="Times New Roman" w:cs="Times New Roman"/>
          <w:color w:val="000000"/>
          <w:spacing w:val="0"/>
          <w:w w:val="115"/>
          <w:sz w:val="18"/>
          <w:szCs w:val="18"/>
        </w:rPr>
        <w:t xml:space="preserve">136. (1) </w:t>
      </w:r>
      <w:r>
        <w:rPr>
          <w:rFonts w:ascii="Times New Roman" w:hAnsi="Times New Roman" w:cs="Times New Roman"/>
          <w:color w:val="000000"/>
          <w:spacing w:val="0"/>
          <w:w w:val="115"/>
          <w:sz w:val="16"/>
          <w:szCs w:val="16"/>
        </w:rPr>
        <w:t xml:space="preserve">Notwithstanding anything in this Chapter, the Supreme Court may, in its </w:t>
      </w:r>
      <w:r>
        <w:rPr>
          <w:rFonts w:ascii="Times New Roman" w:hAnsi="Times New Roman" w:cs="Times New Roman"/>
          <w:color w:val="000000"/>
          <w:spacing w:val="0"/>
          <w:w w:val="122"/>
          <w:sz w:val="16"/>
          <w:szCs w:val="16"/>
        </w:rPr>
        <w:t xml:space="preserve">discretion, grant special leave to appeal from any judgment, decree determination, </w:t>
      </w:r>
      <w:r>
        <w:rPr>
          <w:rFonts w:ascii="Times New Roman" w:hAnsi="Times New Roman" w:cs="Times New Roman"/>
          <w:color w:val="000000"/>
          <w:spacing w:val="0"/>
          <w:w w:val="124"/>
          <w:sz w:val="16"/>
          <w:szCs w:val="16"/>
        </w:rPr>
        <w:t xml:space="preserve">sentence or order in any cause or matter passed or made by any court or tribunal </w:t>
      </w:r>
      <w:r>
        <w:rPr>
          <w:rFonts w:ascii="Times New Roman" w:hAnsi="Times New Roman" w:cs="Times New Roman"/>
          <w:color w:val="000000"/>
          <w:spacing w:val="0"/>
          <w:w w:val="121"/>
          <w:sz w:val="16"/>
          <w:szCs w:val="16"/>
        </w:rPr>
        <w:t xml:space="preserve">in the territory of India.</w:t>
      </w:r>
    </w:p>
    <w:p>
      <w:pPr>
        <w:spacing w:before="62" w:after="0" w:line="200" w:lineRule="exact"/>
        <w:ind w:left="1516" w:right="1598" w:firstLine="384"/>
        <w:jc w:val="both"/>
      </w:pPr>
      <w:r>
        <w:rPr>
          <w:rFonts w:ascii="Times New Roman" w:hAnsi="Times New Roman" w:cs="Times New Roman"/>
          <w:color w:val="000000"/>
          <w:spacing w:val="0"/>
          <w:w w:val="120"/>
          <w:sz w:val="16"/>
          <w:szCs w:val="16"/>
        </w:rPr>
        <w:t xml:space="preserve">(2) NOthing in clause (1) shall apply to any judgment, determination, sentence </w:t>
      </w:r>
      <w:r>
        <w:rPr>
          <w:rFonts w:ascii="Times New Roman" w:hAnsi="Times New Roman" w:cs="Times New Roman"/>
          <w:color w:val="000000"/>
          <w:spacing w:val="0"/>
          <w:w w:val="123"/>
          <w:sz w:val="16"/>
          <w:szCs w:val="16"/>
        </w:rPr>
        <w:t xml:space="preserve">or order passed or made by any court or tribunal constituted by </w:t>
      </w:r>
      <w:r>
        <w:rPr>
          <w:rFonts w:ascii="Times New Roman" w:hAnsi="Times New Roman" w:cs="Times New Roman"/>
          <w:color w:val="000000"/>
          <w:spacing w:val="0"/>
          <w:w w:val="123"/>
          <w:sz w:val="18"/>
          <w:szCs w:val="18"/>
        </w:rPr>
        <w:t xml:space="preserve">or under </w:t>
      </w:r>
      <w:r>
        <w:rPr>
          <w:rFonts w:ascii="Times New Roman" w:hAnsi="Times New Roman" w:cs="Times New Roman"/>
          <w:color w:val="000000"/>
          <w:spacing w:val="0"/>
          <w:w w:val="123"/>
          <w:sz w:val="16"/>
          <w:szCs w:val="16"/>
        </w:rPr>
        <w:t xml:space="preserve">any law </w:t>
      </w:r>
      <w:r>
        <w:rPr>
          <w:rFonts w:ascii="Times New Roman" w:hAnsi="Times New Roman" w:cs="Times New Roman"/>
          <w:color w:val="000000"/>
          <w:spacing w:val="0"/>
          <w:w w:val="120"/>
          <w:sz w:val="16"/>
          <w:szCs w:val="16"/>
        </w:rPr>
        <w:t xml:space="preserve">relating to the Armed Forces.</w:t>
      </w:r>
    </w:p>
    <w:p>
      <w:pPr>
        <w:spacing w:before="32" w:after="0" w:line="210" w:lineRule="exact"/>
        <w:ind w:left="791" w:right="1587" w:firstLine="364"/>
        <w:jc w:val="both"/>
      </w:pPr>
      <w:r>
        <w:rPr>
          <w:rFonts w:ascii="Times New Roman" w:hAnsi="Times New Roman" w:cs="Times New Roman"/>
          <w:color w:val="000000"/>
          <w:spacing w:val="0"/>
          <w:w w:val="118"/>
          <w:sz w:val="18"/>
          <w:szCs w:val="18"/>
        </w:rPr>
        <w:t xml:space="preserve">It vests in the Supreme Court a plenary jurisdiction in the matter of entertaining </w:t>
      </w:r>
      <w:r>
        <w:rPr>
          <w:rFonts w:ascii="Times New Roman" w:hAnsi="Times New Roman" w:cs="Times New Roman"/>
          <w:color w:val="000000"/>
          <w:spacing w:val="0"/>
          <w:w w:val="124"/>
          <w:sz w:val="18"/>
          <w:szCs w:val="18"/>
        </w:rPr>
        <w:t xml:space="preserve">and hearing appeals, by granting special leave, against any kind of judgment or </w:t>
      </w:r>
      <w:r>
        <w:rPr>
          <w:rFonts w:ascii="Times New Roman" w:hAnsi="Times New Roman" w:cs="Times New Roman"/>
          <w:color w:val="000000"/>
          <w:spacing w:val="0"/>
          <w:w w:val="122"/>
          <w:sz w:val="18"/>
          <w:szCs w:val="18"/>
        </w:rPr>
        <w:t xml:space="preserve">order made by any court or tribunal (except a military tribunal) in any proceeding</w:t>
      </w:r>
    </w:p>
    <w:p>
      <w:pPr>
        <w:spacing w:before="15" w:after="0" w:line="205" w:lineRule="exact"/>
        <w:ind w:left="787" w:right="1586" w:firstLine="4"/>
        <w:jc w:val="both"/>
      </w:pP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and the exercise of the power is left entirely to the </w:t>
      </w:r>
      <w:r>
        <w:rPr>
          <w:rFonts w:ascii="Times New Roman" w:hAnsi="Times New Roman" w:cs="Times New Roman"/>
          <w:i/>
          <w:color w:val="000000"/>
          <w:spacing w:val="0"/>
          <w:w w:val="120"/>
          <w:sz w:val="18"/>
          <w:szCs w:val="18"/>
        </w:rPr>
        <w:t xml:space="preserve">discretion </w:t>
      </w: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of the Supreme Court </w:t>
      </w: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unfettered by any restrictions and this power cannot be curtailed by any legislation </w:t>
      </w:r>
      <w:r>
        <w:rPr>
          <w:rFonts w:ascii="Times New Roman" w:hAnsi="Times New Roman" w:cs="Times New Roman"/>
          <w:color w:val="000000"/>
          <w:spacing w:val="0"/>
          <w:w w:val="118"/>
          <w:sz w:val="18"/>
          <w:szCs w:val="18"/>
        </w:rPr>
        <w:t xml:space="preserve">short of amending the Article itself. It has been observed by the Supreme Court that </w:t>
      </w:r>
      <w:r>
        <w:rPr>
          <w:rFonts w:ascii="Times New Roman" w:hAnsi="Times New Roman" w:cs="Times New Roman"/>
          <w:color w:val="000000"/>
          <w:spacing w:val="0"/>
          <w:w w:val="118"/>
          <w:sz w:val="18"/>
          <w:szCs w:val="18"/>
        </w:rPr>
        <w:t xml:space="preserve">it would be better to use the said power with circumspection, rather than to limit the </w:t>
      </w:r>
      <w:r>
        <w:rPr>
          <w:rFonts w:ascii="Times New Roman" w:hAnsi="Times New Roman" w:cs="Times New Roman"/>
          <w:color w:val="000000"/>
          <w:spacing w:val="0"/>
          <w:w w:val="113"/>
          <w:sz w:val="18"/>
          <w:szCs w:val="18"/>
        </w:rPr>
        <w:t xml:space="preserve">power forever. </w:t>
      </w:r>
      <w:r>
        <w:rPr>
          <w:rFonts w:ascii="Times New Roman" w:hAnsi="Times New Roman" w:cs="Times New Roman"/>
          <w:i/>
          <w:color w:val="000000"/>
          <w:spacing w:val="0"/>
          <w:w w:val="113"/>
          <w:sz w:val="18"/>
          <w:szCs w:val="18"/>
        </w:rPr>
        <w:t xml:space="preserve">Mathai v George, </w:t>
      </w:r>
      <w:r>
        <w:rPr>
          <w:rFonts w:ascii="Times New Roman" w:hAnsi="Times New Roman" w:cs="Times New Roman"/>
          <w:color w:val="000000"/>
          <w:spacing w:val="0"/>
          <w:w w:val="113"/>
          <w:sz w:val="18"/>
          <w:szCs w:val="18"/>
        </w:rPr>
        <w:t xml:space="preserve">(2016) 7 SCC 700: (2016) 2 Scale 102.</w:t>
      </w:r>
    </w:p>
    <w:p>
      <w:pPr>
        <w:spacing w:before="71" w:after="0" w:line="210" w:lineRule="exact"/>
        <w:ind w:left="753" w:right="1577" w:firstLine="393"/>
        <w:jc w:val="both"/>
      </w:pPr>
      <w:r>
        <w:rPr>
          <w:rFonts w:ascii="Times New Roman" w:hAnsi="Times New Roman" w:cs="Times New Roman"/>
          <w:color w:val="000000"/>
          <w:spacing w:val="0"/>
          <w:w w:val="127"/>
          <w:sz w:val="18"/>
          <w:szCs w:val="18"/>
        </w:rPr>
        <w:t xml:space="preserve">When  the  Supreme  Court exercises its discretionary jurisdiction under </w:t>
      </w:r>
      <w:r>
        <w:rPr>
          <w:rFonts w:ascii="Times New Roman" w:hAnsi="Times New Roman" w:cs="Times New Roman"/>
          <w:color w:val="000000"/>
          <w:spacing w:val="0"/>
          <w:w w:val="118"/>
          <w:sz w:val="18"/>
          <w:szCs w:val="18"/>
        </w:rPr>
        <w:t xml:space="preserve">Article 136 of the Constitution, it is in order to ensure that there is no miscarriage of </w:t>
      </w:r>
      <w:r>
        <w:rPr>
          <w:rFonts w:ascii="Times New Roman" w:hAnsi="Times New Roman" w:cs="Times New Roman"/>
          <w:color w:val="000000"/>
          <w:spacing w:val="0"/>
          <w:w w:val="118"/>
          <w:sz w:val="18"/>
          <w:szCs w:val="18"/>
        </w:rPr>
        <w:t xml:space="preserve">justice. If finding of </w:t>
      </w:r>
      <w:r>
        <w:rPr>
          <w:rFonts w:ascii="Times New Roman" w:hAnsi="Times New Roman" w:cs="Times New Roman"/>
          <w:color w:val="000000"/>
          <w:spacing w:val="0"/>
          <w:w w:val="118"/>
          <w:sz w:val="16"/>
          <w:szCs w:val="16"/>
        </w:rPr>
        <w:t xml:space="preserve">acquittal by </w:t>
      </w:r>
      <w:r>
        <w:rPr>
          <w:rFonts w:ascii="Times New Roman" w:hAnsi="Times New Roman" w:cs="Times New Roman"/>
          <w:color w:val="000000"/>
          <w:spacing w:val="0"/>
          <w:w w:val="118"/>
          <w:sz w:val="18"/>
          <w:szCs w:val="18"/>
        </w:rPr>
        <w:t xml:space="preserve">high court is found to be misconceived and perverse,</w:t>
      </w:r>
    </w:p>
    <w:p>
      <w:pPr>
        <w:spacing w:before="0" w:after="0" w:line="220" w:lineRule="exact"/>
        <w:ind w:left="787" w:right="1596" w:firstLine="9"/>
        <w:jc w:val="both"/>
      </w:pPr>
      <w:r>
        <w:rPr>
          <w:rFonts w:ascii="Times New Roman" w:hAnsi="Times New Roman" w:cs="Times New Roman"/>
          <w:color w:val="000000"/>
          <w:spacing w:val="0"/>
          <w:w w:val="118"/>
          <w:sz w:val="18"/>
          <w:szCs w:val="18"/>
        </w:rPr>
        <w:t xml:space="preserve">this court can quash such order of acquittal under Article 136 of the Constitution. is </w:t>
      </w:r>
      <w:r>
        <w:rPr>
          <w:rFonts w:ascii="Times New Roman" w:hAnsi="Times New Roman" w:cs="Times New Roman"/>
          <w:color w:val="000000"/>
          <w:spacing w:val="0"/>
          <w:w w:val="118"/>
          <w:sz w:val="18"/>
          <w:szCs w:val="18"/>
        </w:rPr>
        <w:t xml:space="preserve">This wide power is not, however, to be exercised by the Supreme Court so as to</w:t>
      </w:r>
    </w:p>
    <w:sectPr>
      <w:pgSz w:w="9780" w:h="1346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