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1046"/>
        <w:rPr>
          <w:sz w:val="24"/>
          <w:szCs w:val="24"/>
        </w:rPr>
      </w:pPr>
    </w:p>
    <w:p>
      <w:pPr>
        <w:tabs>
          <w:tab w:val="left" w:pos="2231"/>
          <w:tab w:val="left" w:pos="7435"/>
        </w:tabs>
        <w:spacing w:before="181" w:after="0" w:line="207" w:lineRule="exact"/>
        <w:ind w:left="1046" w:firstLine="0"/>
        <w:ind w:right="0"/>
      </w:pPr>
      <w:r>
        <w:rPr>
          <w:rFonts w:ascii="Times New Roman" w:hAnsi="Times New Roman" w:cs="Times New Roman"/>
          <w:color w:val="000000"/>
          <w:spacing w:val="-6"/>
          <w:w w:val="100"/>
          <w:sz w:val="18"/>
          <w:szCs w:val="18"/>
        </w:rPr>
        <w:t xml:space="preserve">310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/>
          <w:spacing w:val="-6"/>
          <w:w w:val="100"/>
          <w:sz w:val="18"/>
          <w:szCs w:val="18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/>
          <w:spacing w:val="-5"/>
          <w:w w:val="100"/>
          <w:sz w:val="18"/>
          <w:szCs w:val="18"/>
        </w:rPr>
        <w:t xml:space="preserve">[CHAP. </w:t>
      </w:r>
      <w:r>
        <w:rPr>
          <w:rFonts w:ascii="Times New Roman" w:hAnsi="Times New Roman" w:cs="Times New Roman"/>
          <w:color w:val="000000"/>
          <w:spacing w:val="-5"/>
          <w:w w:val="100"/>
          <w:sz w:val="18"/>
          <w:szCs w:val="18"/>
        </w:rPr>
        <w:t xml:space="preserve">22</w:t>
      </w:r>
    </w:p>
    <w:p>
      <w:pPr>
        <w:spacing w:before="0" w:after="0" w:line="205" w:lineRule="exact"/>
        <w:ind w:left="1036"/>
        <w:rPr>
          <w:sz w:val="24"/>
          <w:szCs w:val="24"/>
        </w:rPr>
      </w:pPr>
    </w:p>
    <w:p>
      <w:pPr>
        <w:spacing w:before="70" w:after="0" w:line="205" w:lineRule="exact"/>
        <w:ind w:left="1036" w:right="1318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entertain an appeal in any case where no appeal is otherwise provided by the law Or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the Constitution. It is a special power which is to be exercised only under </w:t>
      </w:r>
      <w:r>
        <w:rPr>
          <w:rFonts w:ascii="Times New Roman" w:hAnsi="Times New Roman" w:cs="Times New Roman"/>
          <w:i/>
          <w:color w:val="000000"/>
          <w:spacing w:val="0"/>
          <w:w w:val="116"/>
          <w:sz w:val="18"/>
          <w:szCs w:val="18"/>
        </w:rPr>
        <w:t xml:space="preserve">exceptional </w:t>
      </w:r>
      <w:r>
        <w:rPr>
          <w:rFonts w:ascii="Times New Roman" w:hAnsi="Times New Roman" w:cs="Times New Roman"/>
          <w:i/>
          <w:color w:val="000000"/>
          <w:spacing w:val="0"/>
          <w:w w:val="116"/>
          <w:sz w:val="18"/>
          <w:szCs w:val="18"/>
        </w:rPr>
        <w:t xml:space="preserve">circumstances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and the Supreme Court has already laid down the principles according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to which this extraordinary power shall be used, </w:t>
      </w:r>
      <w:r>
        <w:rPr>
          <w:rFonts w:ascii="Times New Roman" w:hAnsi="Times New Roman" w:cs="Times New Roman"/>
          <w:i/>
          <w:color w:val="000000"/>
          <w:spacing w:val="0"/>
          <w:w w:val="117"/>
          <w:sz w:val="18"/>
          <w:szCs w:val="18"/>
        </w:rPr>
        <w:t xml:space="preserve">eg,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where there has been a violation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of the principles of natural justice. An appeal by special leave is not a regular appeal.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Merely because a different view is possible on the evidence adduced at the trial is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no ground for the court to upset the opinion of the courts below. The court would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reappreciate evidence only to find out whether there has been any illegality, material </w:t>
      </w: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irregularity or miscarriage ofj ustice.19 In </w:t>
      </w:r>
      <w:r>
        <w:rPr>
          <w:rFonts w:ascii="Times New Roman" w:hAnsi="Times New Roman" w:cs="Times New Roman"/>
          <w:i/>
          <w:color w:val="000000"/>
          <w:spacing w:val="0"/>
          <w:w w:val="115"/>
          <w:sz w:val="18"/>
          <w:szCs w:val="18"/>
        </w:rPr>
        <w:t xml:space="preserve">civil cases </w:t>
      </w: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the special leave to appeal under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this Article would not be granted unless there is some substantial question of law or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general public interest involved in the case. Similarly, in </w:t>
      </w:r>
      <w:r>
        <w:rPr>
          <w:rFonts w:ascii="Times New Roman" w:hAnsi="Times New Roman" w:cs="Times New Roman"/>
          <w:i/>
          <w:color w:val="000000"/>
          <w:spacing w:val="0"/>
          <w:w w:val="117"/>
          <w:sz w:val="18"/>
          <w:szCs w:val="18"/>
        </w:rPr>
        <w:t xml:space="preserve">criminal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cases the Supreme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Court will not interfere under Article 136 unless it is shown that exceptional and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special circumstances exist, that substantial and grave injustice has been done and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that the case in question presents features of sufficient gravity to warrant a review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of the decision appealed against." The suspension of sentence, pending any appeal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by a convicted person and consequential release on bail is not a matter of course </w:t>
      </w: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and the appellate court is required to record reasons in writing for suspending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the sentence and release of convict on a bail pending appea1.21 Similarly, it will not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substitute its own decision for the determination of a </w:t>
      </w:r>
      <w:r>
        <w:rPr>
          <w:rFonts w:ascii="Times New Roman" w:hAnsi="Times New Roman" w:cs="Times New Roman"/>
          <w:i/>
          <w:color w:val="000000"/>
          <w:spacing w:val="0"/>
          <w:w w:val="120"/>
          <w:sz w:val="18"/>
          <w:szCs w:val="18"/>
        </w:rPr>
        <w:t xml:space="preserve">tribunal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but it would interfere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to quash the decision of a quasi-judicial tribunal under its extraordinary powers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conferred by Article 136 when the tribunal has either exceeded its jurisdiction or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has approached the question referred to in a manner which is likely to result in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injustice or has adopted a procedure which runs counter to the established rules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of natural justice." Where findings of facts recorded by the trial court </w:t>
      </w:r>
      <w:r>
        <w:rPr>
          <w:rFonts w:ascii="Times New Roman" w:hAnsi="Times New Roman" w:cs="Times New Roman"/>
          <w:b/>
          <w:color w:val="000000"/>
          <w:spacing w:val="0"/>
          <w:w w:val="121"/>
          <w:sz w:val="16"/>
          <w:szCs w:val="16"/>
        </w:rPr>
        <w:t xml:space="preserve">are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affirmed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by the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 ,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high court in appeal, the Supreme Court will be reluctant to interfere with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such findings in exercise ofj urisdiction under Article 136 of the Constitution unless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there are very strong reasons to do so."</w:t>
      </w:r>
    </w:p>
    <w:p>
      <w:pPr>
        <w:tabs>
          <w:tab w:val="left" w:pos="2097"/>
        </w:tabs>
        <w:spacing w:before="75" w:after="0" w:line="206" w:lineRule="exact"/>
        <w:ind w:left="1031" w:right="1342" w:firstLine="355"/>
        <w:jc w:val="both"/>
      </w:pPr>
      <w:r>
        <w:rPr>
          <w:rFonts w:ascii="Times New Roman" w:hAnsi="Times New Roman" w:cs="Times New Roman"/>
          <w:color w:val="000000"/>
          <w:spacing w:val="0"/>
          <w:w w:val="114"/>
          <w:sz w:val="18"/>
          <w:szCs w:val="18"/>
        </w:rPr>
        <w:t xml:space="preserve">Article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w w:val="127"/>
          <w:sz w:val="18"/>
          <w:szCs w:val="18"/>
        </w:rPr>
        <w:t xml:space="preserve">136 does not confer a right of appeal on any party, but confers a </w:t>
      </w:r>
      <w:r>
        <w:rPr>
          <w:rFonts w:ascii="Times New Roman" w:hAnsi="Times New Roman" w:cs="Times New Roman"/>
          <w:color w:val="000000"/>
          <w:spacing w:val="1"/>
          <w:w w:val="127"/>
          <w:sz w:val="18"/>
          <w:szCs w:val="18"/>
        </w:rPr>
        <w:t xml:space="preserve">discretionary power on the Supreme Court to interfere in appropriate cases.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This power can be exercised in spite of other provisions for appeal contained in </w:t>
      </w:r>
      <w:r>
        <w:rPr>
          <w:rFonts w:ascii="Times New Roman" w:hAnsi="Times New Roman" w:cs="Times New Roman"/>
          <w:color w:val="000000"/>
          <w:spacing w:val="0"/>
          <w:w w:val="113"/>
          <w:sz w:val="18"/>
          <w:szCs w:val="18"/>
        </w:rPr>
        <w:t xml:space="preserve">the Constitution, or any other law.23A</w:t>
      </w:r>
    </w:p>
    <w:p>
      <w:pPr>
        <w:spacing w:before="99" w:after="0" w:line="200" w:lineRule="exact"/>
        <w:ind w:left="1031" w:right="1347" w:firstLine="355"/>
        <w:jc w:val="both"/>
      </w:pP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A pure finding of fact based on appreciation of evidence does not call for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interference in exercise of power under Article 136 of the Constitution."</w:t>
      </w:r>
    </w:p>
    <w:p>
      <w:pPr>
        <w:spacing w:before="76" w:after="0" w:line="205" w:lineRule="exact"/>
        <w:ind w:left="1022" w:right="1346" w:firstLine="374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There is no tangible justification to allow the appellants to raise a new plea for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the first time, the determination of which would require detailed investigation into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issue of facts." The point can be raised before the Supreme Court for the first time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where it goes to the root of the matter and for consideration of this point no further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investigation in the facts of the case is necessary."</w:t>
      </w:r>
    </w:p>
    <w:p>
      <w:pPr>
        <w:spacing w:before="129" w:after="0" w:line="213" w:lineRule="exact"/>
        <w:ind w:left="1027" w:right="1351" w:firstLine="369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Supreme Court while hearing appeal under Article 136 of the Constitution is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not inhibited by observations made at the time of admitting SLP limiting the points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for consideration. The court can at the time of final hearing consider the entire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perspective to do final justice in the matter."</w:t>
      </w:r>
    </w:p>
    <w:p>
      <w:pPr>
        <w:tabs>
          <w:tab w:val="left" w:pos="2932"/>
        </w:tabs>
        <w:spacing w:before="78" w:after="0" w:line="200" w:lineRule="exact"/>
        <w:ind w:left="1396" w:right="1352"/>
        <w:jc w:val="left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Besides the above regular jurisdiction of the Supreme Court, it shall have an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13"/>
          <w:sz w:val="18"/>
          <w:szCs w:val="18"/>
        </w:rPr>
        <w:t xml:space="preserve">advisory </w:t>
      </w:r>
      <w:r>
        <w:rPr>
          <w:rFonts w:ascii="Times New Roman" w:hAnsi="Times New Roman" w:cs="Times New Roman"/>
          <w:color w:val="000000"/>
          <w:spacing w:val="0"/>
          <w:w w:val="113"/>
          <w:sz w:val="18"/>
          <w:szCs w:val="18"/>
        </w:rPr>
        <w:t xml:space="preserve">jurisdiction, to give its </w:t>
      </w:r>
      <w:r>
        <w:rPr>
          <w:rFonts w:ascii="Times New Roman" w:hAnsi="Times New Roman" w:cs="Times New Roman"/>
          <w:i/>
          <w:color w:val="000000"/>
          <w:spacing w:val="0"/>
          <w:w w:val="113"/>
          <w:sz w:val="18"/>
          <w:szCs w:val="18"/>
        </w:rPr>
        <w:t xml:space="preserve">opinion, </w:t>
      </w:r>
      <w:r>
        <w:rPr>
          <w:rFonts w:ascii="Times New Roman" w:hAnsi="Times New Roman" w:cs="Times New Roman"/>
          <w:color w:val="000000"/>
          <w:spacing w:val="0"/>
          <w:w w:val="113"/>
          <w:sz w:val="18"/>
          <w:szCs w:val="18"/>
        </w:rPr>
        <w:t xml:space="preserve">on any question of law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0" w:after="0" w:line="171" w:lineRule="exact"/>
        <w:ind w:left="1065" w:right="6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14"/>
          <w:szCs w:val="14"/>
        </w:rPr>
        <w:t xml:space="preserve">D. </w:t>
      </w:r>
      <w:r>
        <w:rPr>
          <w:rFonts w:ascii="Times New Roman" w:hAnsi="Times New Roman" w:cs="Times New Roman"/>
          <w:b/>
          <w:color w:val="000000"/>
          <w:spacing w:val="0"/>
          <w:w w:val="108"/>
          <w:sz w:val="16"/>
          <w:szCs w:val="16"/>
        </w:rPr>
        <w:t xml:space="preserve">Advisory jurisdic-</w:t>
      </w:r>
      <w:br/>
      <w:r>
        <w:rPr>
          <w:rFonts w:ascii="Times New Roman" w:hAnsi="Times New Roman" w:cs="Times New Roman"/>
          <w:b/>
          <w:color w:val="000000"/>
          <w:spacing w:val="0"/>
          <w:w w:val="107"/>
          <w:sz w:val="16"/>
          <w:szCs w:val="16"/>
        </w:rPr>
        <w:t xml:space="preserve">tion.</w:t>
      </w:r>
    </w:p>
    <w:p>
      <w:pPr>
        <w:spacing w:before="19" w:after="0" w:line="201" w:lineRule="exact"/>
        <w:ind w:left="10" w:right="1236"/>
        <w:jc w:val="both"/>
      </w:pPr>
      <w:r>
        <w:rPr>
          <w:rFonts w:ascii="Times New Roman" w:hAnsi="Times New Roman" w:cs="Times New Roman"/>
          <w:color w:val="000000"/>
          <w:spacing w:val="1"/>
          <w:w w:val="127"/>
          <w:sz w:val="18"/>
          <w:szCs w:val="18"/>
        </w:rPr>
        <w:br w:type="column"/>
        <w:t xml:space="preserve">or fact of public importance as may be referred to it for </w:t>
      </w:r>
      <w:br/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consideration by the President.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753" w:space="160" w:equalWidth="0"/>
            <w:col w:w="6707" w:space="160" w:equalWidth="0"/>
          </w:cols>
        </w:sectPr>
      </w:pPr>
    </w:p>
    <w:p>
      <w:pPr>
        <w:tabs>
          <w:tab w:val="left" w:pos="2083"/>
        </w:tabs>
        <w:spacing w:before="72" w:after="0" w:line="210" w:lineRule="exact"/>
        <w:ind w:left="1031" w:right="1356" w:firstLine="350"/>
        <w:jc w:val="both"/>
      </w:pP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Article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143 of the Constitution lays down that the Supreme Court may be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required to express its opinion in two classes of matters, in an advisory capacity as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distinguished from its judicial capacity: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