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811"/>
        <w:rPr>
          <w:sz w:val="24"/>
          <w:szCs w:val="24"/>
        </w:rPr>
      </w:pPr>
    </w:p>
    <w:p>
      <w:pPr>
        <w:spacing w:before="0" w:after="0" w:line="207" w:lineRule="exact"/>
        <w:ind w:left="811"/>
        <w:rPr>
          <w:sz w:val="24"/>
          <w:szCs w:val="24"/>
        </w:rPr>
      </w:pPr>
    </w:p>
    <w:p>
      <w:pPr>
        <w:tabs>
          <w:tab w:val="left" w:pos="3859"/>
          <w:tab w:val="left" w:pos="7756"/>
        </w:tabs>
        <w:spacing w:before="32" w:after="0" w:line="207" w:lineRule="exact"/>
        <w:ind w:left="811" w:firstLine="0"/>
        <w:ind w:right="0"/>
      </w:pPr>
      <w:r>
        <w:rPr>
          <w:rFonts w:ascii="Times New Roman" w:hAnsi="Times New Roman" w:cs="Times New Roman"/>
          <w:color w:val="000000"/>
          <w:spacing w:val="-2"/>
          <w:w w:val="100"/>
          <w:sz w:val="18"/>
          <w:szCs w:val="18"/>
        </w:rPr>
        <w:t xml:space="preserve">CHAP. 22]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/>
          <w:spacing w:val="-2"/>
          <w:w w:val="100"/>
          <w:sz w:val="18"/>
          <w:szCs w:val="18"/>
        </w:rPr>
        <w:t xml:space="preserve">THE SUPREME </w:t>
      </w:r>
      <w:r>
        <w:rPr>
          <w:rFonts w:ascii="Times New Roman" w:hAnsi="Times New Roman" w:cs="Times New Roman"/>
          <w:color w:val="000000"/>
          <w:spacing w:val="-2"/>
          <w:w w:val="100"/>
          <w:sz w:val="18"/>
          <w:szCs w:val="18"/>
        </w:rPr>
        <w:t xml:space="preserve">COURT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2"/>
          <w:w w:val="100"/>
          <w:sz w:val="18"/>
          <w:szCs w:val="18"/>
        </w:rPr>
        <w:t xml:space="preserve">311</w:t>
      </w:r>
    </w:p>
    <w:p>
      <w:pPr>
        <w:spacing w:before="0" w:after="0" w:line="205" w:lineRule="exact"/>
        <w:ind w:left="796"/>
        <w:rPr>
          <w:sz w:val="24"/>
          <w:szCs w:val="24"/>
        </w:rPr>
      </w:pPr>
    </w:p>
    <w:p>
      <w:pPr>
        <w:spacing w:before="72" w:after="0" w:line="205" w:lineRule="exact"/>
        <w:ind w:left="796" w:right="1553" w:firstLine="393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(a) In the first class, any question of law may be referred to the Supreme Court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for its opinion if the President considers that the question is of such a nature and of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such public importance that it is expedient to obtain the opinion of the Supreme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Court. It has been observed by the Supreme Court that Article 143 does not restrict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the President to obtain opinion only on a pure question of law as the bare perusal of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the Article shows that the President is authorised to refer to the court any question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of law or fact. It is within the discretion of the court, subject to certain parameters to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decide whether to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refuse or to answer a question on reference.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8"/>
          <w:szCs w:val="18"/>
        </w:rPr>
        <w:t xml:space="preserve">Re Punjab Termination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8"/>
          <w:szCs w:val="18"/>
        </w:rPr>
        <w:t xml:space="preserve">of Agreement Act, </w:t>
      </w:r>
      <w:r>
        <w:rPr>
          <w:rFonts w:ascii="Times New Roman" w:hAnsi="Times New Roman" w:cs="Times New Roman"/>
          <w:color w:val="000000"/>
          <w:spacing w:val="0"/>
          <w:w w:val="107"/>
          <w:sz w:val="18"/>
          <w:szCs w:val="18"/>
        </w:rPr>
        <w:t xml:space="preserve">2004, AIR 2016 SC 5145: (2017) 1 SCC 121.</w:t>
      </w:r>
    </w:p>
    <w:p>
      <w:pPr>
        <w:spacing w:before="135" w:after="0" w:line="205" w:lineRule="exact"/>
        <w:ind w:left="796" w:right="1558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It differs from a regular adjudicatibn before the Supreme Court in this sense that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there is no litigation between two parties in such a case and that the opinion given by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the Supreme Court on such a reference is not binding upon the Government itself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and further that the opinion is not executable as a judgment of the Supreme Court.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The opinion is only advisory and the Government may take it into consideration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in taking any action in the matter but it is not bound to act in conformity with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the opinion so received. The chief utility of such an advisory judicial opinion is to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enable the Government to secure an authoritative opinion either as to the validity of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a legislative measure before it is enacted or as to some other matter which may not</w:t>
      </w:r>
    </w:p>
    <w:p>
      <w:pPr>
        <w:spacing w:before="89" w:after="0" w:line="162" w:lineRule="exact"/>
        <w:ind w:left="791" w:right="1592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g</w:t>
      </w:r>
      <w:r>
        <w:rPr>
          <w:rFonts w:ascii="Times New Roman" w:hAnsi="Times New Roman" w:cs="Times New Roman"/>
          <w:color w:val="000000"/>
          <w:spacing w:val="0"/>
          <w:w w:val="122"/>
          <w:sz w:val="27"/>
          <w:szCs w:val="27"/>
          <w:vertAlign w:val="superscript"/>
        </w:rPr>
        <w:t xml:space="preserve">o to the courts in the ordinary course and yet the Government is anxious to hav</w:t>
      </w:r>
      <w:r>
        <w:rPr>
          <w:rFonts w:ascii="Times New Roman" w:hAnsi="Times New Roman" w:cs="Times New Roman"/>
          <w:color w:val="000000"/>
          <w:spacing w:val="0"/>
          <w:w w:val="122"/>
          <w:sz w:val="27"/>
          <w:szCs w:val="27"/>
          <w:vertAlign w:val="superscript"/>
        </w:rPr>
        <w:t xml:space="preserve">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authoritative legal opinion before taking any action.</w:t>
      </w:r>
    </w:p>
    <w:p>
      <w:pPr>
        <w:spacing w:before="144" w:after="0" w:line="204" w:lineRule="exact"/>
        <w:ind w:left="787" w:right="1562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Up to 2015 there were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8"/>
          <w:szCs w:val="18"/>
        </w:rPr>
        <w:t xml:space="preserve">fifteen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cases of reference of this class made by the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President.' It may be mentioned that though the opinion of the Supreme Court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on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such a reference may not be binding on the Government, the propositions of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law declared by the Supreme Court even on such a reference are binding on the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subordinate courts. In fact, the propositions laid down in the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18"/>
          <w:szCs w:val="18"/>
        </w:rPr>
        <w:t xml:space="preserve">Delhi Laws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case have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been frequently referred to and followed since then by the subordinate courts. A</w:t>
      </w:r>
    </w:p>
    <w:p>
      <w:pPr>
        <w:spacing w:before="16" w:after="0" w:line="204" w:lineRule="exact"/>
        <w:ind w:left="753" w:right="1567" w:firstLine="38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decision of the Supreme Court on a question of law is binding on all courts and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authorities and the President could refer a question of law only if the Supreme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Court had not decided it. A decision of the Supreme Court which is neither without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jurisdiction nor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18"/>
          <w:szCs w:val="18"/>
        </w:rPr>
        <w:t xml:space="preserve">per incuriam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nor in violation of the principle of natural justice or of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any provision of the Constitution would be binding and operate as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18"/>
          <w:szCs w:val="18"/>
        </w:rPr>
        <w:t xml:space="preserve">res judicata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and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such a decision would not be open to reconsideration in a reference under Article</w:t>
      </w:r>
    </w:p>
    <w:p>
      <w:pPr>
        <w:spacing w:before="15" w:after="0" w:line="206" w:lineRule="exact"/>
        <w:ind w:left="772" w:right="1577" w:firstLine="28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143 as that would amount to the court sitting in appeal over its own decision.288.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The Supreme Court is entitled to decline to answer a question posed to it under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Article 143 if it is superfluous or unnecessary. The Supreme Court for the first time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declined to answer a Reference i.e. Special Reference No. 1 of 1993. The court can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pass interim orders in a pending reference.28B A Presidential reference was made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in the backdrop of the decision rendered by the Supreme Court in </w:t>
      </w:r>
      <w:r>
        <w:rPr>
          <w:rFonts w:ascii="Times New Roman" w:hAnsi="Times New Roman" w:cs="Times New Roman"/>
          <w:i/>
          <w:color w:val="000000"/>
          <w:spacing w:val="0"/>
          <w:w w:val="119"/>
          <w:sz w:val="18"/>
          <w:szCs w:val="18"/>
        </w:rPr>
        <w:t xml:space="preserve">Centre for Public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8"/>
          <w:szCs w:val="18"/>
        </w:rPr>
        <w:t xml:space="preserve">Interest Litigation </w:t>
      </w:r>
      <w:r>
        <w:rPr>
          <w:rFonts w:ascii="Times New Roman" w:hAnsi="Times New Roman" w:cs="Times New Roman"/>
          <w:color w:val="000000"/>
          <w:spacing w:val="0"/>
          <w:w w:val="108"/>
          <w:sz w:val="18"/>
          <w:szCs w:val="18"/>
        </w:rPr>
        <w:t xml:space="preserve">case,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[AIR 2012 SC 10 : (2012) 3 SCC 1, popularly known as "2G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Spectrum case"]; wherein eight questions were referred to the Hon'ble Supreme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Court for its opinion/ advice, however the Hon'ble Supreme Court only considered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f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ve questions and declined to give its opinion on remaining three questions.28C</w:t>
      </w:r>
    </w:p>
    <w:p>
      <w:pPr>
        <w:spacing w:before="76" w:after="0" w:line="204" w:lineRule="exact"/>
        <w:ind w:left="782" w:right="1591" w:firstLine="388"/>
        <w:jc w:val="both"/>
      </w:pPr>
      <w:r>
        <w:rPr>
          <w:rFonts w:ascii="Times New Roman" w:hAnsi="Times New Roman" w:cs="Times New Roman"/>
          <w:color w:val="000000"/>
          <w:spacing w:val="1"/>
          <w:w w:val="129"/>
          <w:sz w:val="18"/>
          <w:szCs w:val="18"/>
        </w:rPr>
        <w:t xml:space="preserve">(b) The second class of cases belong to the disputes arising out of pre-</w:t>
      </w:r>
      <w:br/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Constitution treaties and agreements which are excluded by Article 131, proviso,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from the Original Jurisdiction of the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Supreme Court, as we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have already seen. In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other words, though such disputes cannot come to the Supreme Court as a litigation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under its Original jurisdiction, the subject-matter of such disputes may be referred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to by the President for the opinion of the Supreme Court in its advisory capacity.</w:t>
      </w:r>
    </w:p>
    <w:p>
      <w:pPr>
        <w:spacing w:before="100" w:after="0" w:line="200" w:lineRule="exact"/>
        <w:ind w:left="777" w:right="1591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In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8"/>
          <w:szCs w:val="18"/>
        </w:rPr>
        <w:t xml:space="preserve">Re the Kerala Education Bill,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1957 the Supreme Court (Seven Judges Bench)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observed that the advisory Jurisdiction conferred by Article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143 (1) is different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from that conferred by Article 143(2) of the Constitution in that the latter made it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