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1022"/>
        <w:rPr>
          <w:sz w:val="24"/>
          <w:szCs w:val="24"/>
        </w:rPr>
      </w:pPr>
    </w:p>
    <w:p>
      <w:pPr>
        <w:spacing w:before="0" w:after="0" w:line="184" w:lineRule="exact"/>
        <w:ind w:left="1022"/>
        <w:rPr>
          <w:sz w:val="24"/>
          <w:szCs w:val="24"/>
        </w:rPr>
      </w:pPr>
    </w:p>
    <w:p>
      <w:pPr>
        <w:tabs>
          <w:tab w:val="left" w:pos="2193"/>
          <w:tab w:val="left" w:pos="7406"/>
        </w:tabs>
        <w:spacing w:before="54" w:after="0" w:line="184" w:lineRule="exact"/>
        <w:ind w:left="102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312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[CHAP. 22</w:t>
      </w:r>
    </w:p>
    <w:p>
      <w:pPr>
        <w:spacing w:before="0" w:after="0" w:line="200" w:lineRule="exact"/>
        <w:ind w:left="1012"/>
        <w:rPr>
          <w:sz w:val="24"/>
          <w:szCs w:val="24"/>
        </w:rPr>
      </w:pPr>
    </w:p>
    <w:p>
      <w:pPr>
        <w:spacing w:before="88" w:after="0" w:line="200" w:lineRule="exact"/>
        <w:ind w:left="1012" w:right="1366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obligatory on the court to answer the reference 2`' Further in Special Refei-ence No 1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1964 the Supreme Court (Seven Judges bench) observed that it is not obligatory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on the Supreme Court to answer a Reference under Article 143 (1), the word used</w:t>
      </w:r>
    </w:p>
    <w:p>
      <w:pPr>
        <w:spacing w:before="20" w:after="0" w:line="200" w:lineRule="exact"/>
        <w:ind w:left="974" w:right="1365" w:firstLine="38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in that Article being "may" in contrast to the word "shall" used in Article 143(2)."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Besides this, section 53K of Competition Commission Act, 2002 confers advisory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jurisdiction upon the Supreme Court.</w:t>
      </w:r>
    </w:p>
    <w:p>
      <w:pPr>
        <w:spacing w:before="75" w:after="0" w:line="207" w:lineRule="exact"/>
        <w:ind w:left="1372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There are provisions for reference to this court under Article 317(1) of the</w:t>
      </w:r>
    </w:p>
    <w:p>
      <w:pPr>
        <w:tabs>
          <w:tab w:val="left" w:pos="1612"/>
          <w:tab w:val="left" w:pos="7430"/>
        </w:tabs>
        <w:spacing w:before="43" w:after="0" w:line="195" w:lineRule="exact"/>
        <w:ind w:left="1027" w:firstLine="19"/>
        <w:ind w:right="0"/>
      </w:pPr>
      <w:r>
        <w:rPr>
          <w:rFonts w:ascii="Times New Roman" w:hAnsi="Times New Roman" w:cs="Times New Roman"/>
          <w:b/>
          <w:color w:val="000000"/>
          <w:spacing w:val="1"/>
          <w:w w:val="100"/>
          <w:sz w:val="16"/>
          <w:szCs w:val="16"/>
        </w:rPr>
        <w:t xml:space="preserve">E.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2"/>
          <w:sz w:val="16"/>
          <w:szCs w:val="16"/>
        </w:rPr>
        <w:t xml:space="preserve">Miscellaneous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 C</w:t>
      </w:r>
      <w:r>
        <w:rPr>
          <w:rFonts w:ascii="Times New Roman" w:hAnsi="Times New Roman" w:cs="Times New Roman"/>
          <w:color w:val="000000"/>
          <w:spacing w:val="0"/>
          <w:w w:val="122"/>
          <w:sz w:val="27"/>
          <w:szCs w:val="27"/>
          <w:vertAlign w:val="superscript"/>
        </w:rPr>
        <w:t xml:space="preserve">onstitution, section 257 of the Income-tax Act</w:t>
      </w:r>
      <w:r>
        <w:rPr>
          <w:rFonts w:ascii="Times New Roman" w:hAnsi="Times New Roman" w:cs="Times New Roman"/>
          <w:color w:val="000000"/>
          <w:spacing w:val="0"/>
          <w:w w:val="122"/>
          <w:sz w:val="27"/>
          <w:szCs w:val="27"/>
          <w:vertAlign w:val="superscript"/>
        </w:rPr>
        <w:t xml:space="preserve">,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1961 and</w:t>
      </w:r>
    </w:p>
    <w:p>
      <w:pPr>
        <w:tabs>
          <w:tab w:val="left" w:pos="2899"/>
        </w:tabs>
        <w:spacing w:before="26" w:after="0" w:line="195" w:lineRule="exact"/>
        <w:ind w:left="1027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16"/>
          <w:szCs w:val="16"/>
        </w:rPr>
        <w:t xml:space="preserve">Jurisdiction.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0"/>
          <w:sz w:val="16"/>
          <w:szCs w:val="16"/>
        </w:rPr>
        <w:t xml:space="preserve">section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35H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the Central Excise and Salt Act, 1944, section</w:t>
      </w:r>
    </w:p>
    <w:p>
      <w:pPr>
        <w:spacing w:before="0" w:after="0" w:line="162" w:lineRule="exact"/>
        <w:ind w:left="2908"/>
      </w:pP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14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(1) and section 17(1) of the Right to Information Act, 2005.</w:t>
      </w:r>
    </w:p>
    <w:p>
      <w:pPr>
        <w:spacing w:before="95" w:after="0" w:line="205" w:lineRule="exact"/>
        <w:ind w:left="993" w:right="1356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Appeals also lie to Supreme Court under section 116A of the Representation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the People Act, 1951; section 55 of Monopolies and Restrictive Trade Practices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Act, 1969; section 38 of Advocates Act, 1961; section 19(1) (b) of the Contempt of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Courts Act, 1971; section 130E of Customs Act, 1962; section 35L of Central Excise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and Salt Act, 1944; section 14 of Terrorist Affected Areas (Special Courts) Act, 1984;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section 16 of Terrorist and Disruptive Activities (Prevention) Act, 1985; section 17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of Terrorist and Disruptive Activities (Prevention) Act, 1987; section 10 of Trial of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Offences relating to Transactions in Securities Act, 1992 and section 23 of Consumer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Protection Act, 1986, section 379 of the Code of Criminal Procedure, 1973 read with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section 2 of the Supreme Court (Enlargement of, Criminal Appellate Jurisdiction) </w:t>
      </w: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Act,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1970, section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18 of the Telecom Regulatory Authority of India Act, </w:t>
      </w:r>
      <w:r>
        <w:rPr>
          <w:rFonts w:ascii="Times New Roman" w:hAnsi="Times New Roman" w:cs="Times New Roman"/>
          <w:color w:val="000000"/>
          <w:spacing w:val="0"/>
          <w:w w:val="105"/>
          <w:sz w:val="18"/>
          <w:szCs w:val="18"/>
        </w:rPr>
        <w:t xml:space="preserve">1997,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section 15(z) of the Securities and Exchange Board of India Act, 1992, section 261 of </w:t>
      </w:r>
      <w:r>
        <w:rPr>
          <w:rFonts w:ascii="Times New Roman" w:hAnsi="Times New Roman" w:cs="Times New Roman"/>
          <w:color w:val="000000"/>
          <w:spacing w:val="0"/>
          <w:w w:val="112"/>
          <w:sz w:val="18"/>
          <w:szCs w:val="18"/>
        </w:rPr>
        <w:t xml:space="preserve">the Income-Tax Act, 1961.</w:t>
      </w:r>
    </w:p>
    <w:p>
      <w:pPr>
        <w:spacing w:before="80" w:after="0" w:line="200" w:lineRule="exact"/>
        <w:ind w:left="993" w:right="1385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Under Articles 129 and 142 of the Constitution, the Supreme Court has been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vested with power to punish for contempt of court including the power to punish for</w:t>
      </w:r>
    </w:p>
    <w:p>
      <w:pPr>
        <w:spacing w:before="150" w:after="0" w:line="162" w:lineRule="exact"/>
        <w:ind w:left="1036" w:right="1398"/>
        <w:jc w:val="both"/>
      </w:pPr>
      <w:r>
        <w:rPr>
          <w:rFonts w:ascii="Times New Roman" w:hAnsi="Times New Roman" w:cs="Times New Roman"/>
          <w:b/>
          <w:color w:val="000000"/>
          <w:spacing w:val="1"/>
          <w:w w:val="128"/>
          <w:sz w:val="16"/>
          <w:szCs w:val="16"/>
        </w:rPr>
        <w:t xml:space="preserve">Power  to  punish  for </w:t>
      </w:r>
      <w:r>
        <w:rPr>
          <w:rFonts w:ascii="Times New Roman" w:hAnsi="Times New Roman" w:cs="Times New Roman"/>
          <w:color w:val="000000"/>
          <w:spacing w:val="1"/>
          <w:w w:val="128"/>
          <w:sz w:val="18"/>
          <w:szCs w:val="18"/>
        </w:rPr>
        <w:t xml:space="preserve">c</w:t>
      </w:r>
      <w:r>
        <w:rPr>
          <w:rFonts w:ascii="Times New Roman" w:hAnsi="Times New Roman" w:cs="Times New Roman"/>
          <w:color w:val="000000"/>
          <w:spacing w:val="1"/>
          <w:w w:val="128"/>
          <w:sz w:val="27"/>
          <w:szCs w:val="27"/>
          <w:vertAlign w:val="superscript"/>
        </w:rPr>
        <w:t xml:space="preserve">ontempt of itself. In case of contempt, other than th</w:t>
      </w:r>
      <w:r>
        <w:rPr>
          <w:rFonts w:ascii="Times New Roman" w:hAnsi="Times New Roman" w:cs="Times New Roman"/>
          <w:color w:val="000000"/>
          <w:spacing w:val="1"/>
          <w:w w:val="128"/>
          <w:sz w:val="27"/>
          <w:szCs w:val="27"/>
          <w:vertAlign w:val="superscript"/>
        </w:rPr>
        <w:t xml:space="preserve">e </w:t>
      </w:r>
      <w:r>
        <w:rPr>
          <w:rFonts w:ascii="Times New Roman" w:hAnsi="Times New Roman" w:cs="Times New Roman"/>
          <w:b/>
          <w:color w:val="000000"/>
          <w:spacing w:val="0"/>
          <w:w w:val="118"/>
          <w:sz w:val="16"/>
          <w:szCs w:val="16"/>
        </w:rPr>
        <w:t xml:space="preserve">contempt of Court and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 c</w:t>
      </w:r>
      <w:r>
        <w:rPr>
          <w:rFonts w:ascii="Times New Roman" w:hAnsi="Times New Roman" w:cs="Times New Roman"/>
          <w:color w:val="000000"/>
          <w:spacing w:val="0"/>
          <w:w w:val="118"/>
          <w:sz w:val="27"/>
          <w:szCs w:val="27"/>
          <w:vertAlign w:val="superscript"/>
        </w:rPr>
        <w:t xml:space="preserve">ontempt referred to in rule 2, Part I of the Rules to Regulat</w:t>
      </w:r>
      <w:r>
        <w:rPr>
          <w:rFonts w:ascii="Times New Roman" w:hAnsi="Times New Roman" w:cs="Times New Roman"/>
          <w:color w:val="000000"/>
          <w:spacing w:val="0"/>
          <w:w w:val="118"/>
          <w:sz w:val="27"/>
          <w:szCs w:val="27"/>
          <w:vertAlign w:val="superscript"/>
        </w:rPr>
        <w:t xml:space="preserve">e </w:t>
      </w:r>
      <w:r>
        <w:rPr>
          <w:rFonts w:ascii="Times New Roman" w:hAnsi="Times New Roman" w:cs="Times New Roman"/>
          <w:b/>
          <w:color w:val="000000"/>
          <w:spacing w:val="0"/>
          <w:w w:val="106"/>
          <w:sz w:val="16"/>
          <w:szCs w:val="16"/>
        </w:rPr>
        <w:t xml:space="preserve">to do complete justice.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Proceedings for Contempt of the Supreme Court, 1975, the</w:t>
      </w:r>
    </w:p>
    <w:p>
      <w:pPr>
        <w:spacing w:before="1" w:after="0" w:line="207" w:lineRule="exact"/>
        <w:ind w:left="3062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court may take action (a) suo motu, or (b) on a petition</w:t>
      </w:r>
    </w:p>
    <w:p>
      <w:pPr>
        <w:spacing w:before="0" w:after="0" w:line="205" w:lineRule="exact"/>
        <w:ind w:left="984" w:right="1384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made by Attorney General, or Solicitor General, or (c) on a petition made by any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person, and in the case of a 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16"/>
          <w:szCs w:val="16"/>
        </w:rPr>
        <w:t xml:space="preserve">criminal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contempt with the consent in writing of the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Attorney General or the Solicitor General. For exercising the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</w:rPr>
        <w:t xml:space="preserve">suo motu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power for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contempt under Article 129 of the Constitution of India, the limitation provided in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section 20 of the 1971 Act has no application. Under Article 142 the Supreme Court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can grant appropriate relief for doing complete justice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(i) where there is some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manifest illegality, or (ii) where there is manifest want of jurisdiction, or (iii) where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some pulpable injustice is shown to have resulted. It is advisable to leave this power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undefined and uncatalogued, so that it remains elastic enough, to be moulded to suit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the given situation. There cannot be any defined parameters, within the framework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whereof, the Supreme Court would exercise jurisdiction under Article 142 of the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Constitution. The complexity of administration, and of human affairs, would give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room for the exercise of the power vested in the Supreme Court under Article 142, in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a situation where clear injustice appears to have been caused, to any party to a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8"/>
          <w:szCs w:val="18"/>
        </w:rPr>
        <w:t xml:space="preserve">/is.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In </w:t>
      </w:r>
      <w:r>
        <w:rPr>
          <w:rFonts w:ascii="Times New Roman" w:hAnsi="Times New Roman" w:cs="Times New Roman"/>
          <w:color w:val="000000"/>
          <w:spacing w:val="0"/>
          <w:w w:val="114"/>
          <w:sz w:val="18"/>
          <w:szCs w:val="18"/>
        </w:rPr>
        <w:t xml:space="preserve">the absence of any legislation to the contrary, it would be open to this court, to remedy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the situation.31 The power under Article 142 is not limitless. It authorises the court to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pass orders to secure complete justice in the case before it. Article 142 embodies both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the notion ofj ustice, equity and good conscience as well as a supplementary power to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the court to effect complete justice.32</w:t>
      </w:r>
    </w:p>
    <w:p>
      <w:pPr>
        <w:spacing w:before="90" w:after="0" w:line="206" w:lineRule="exact"/>
        <w:ind w:left="979" w:right="1404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The scope of contempt jurisdiction extends to, punishing contemnors for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violating the court's orders; punishing contemnors for disobeying the court's orders;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punishing contemnors for breach of undertakings given to the courts. It also extends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to enforcement of the court's orders. Contemptj urisdiction even extends to punishing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