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95" w:lineRule="exact"/>
        <w:ind w:left="955"/>
        <w:rPr>
          <w:sz w:val="24"/>
          <w:szCs w:val="24"/>
        </w:rPr>
      </w:pPr>
    </w:p>
    <w:p>
      <w:pPr>
        <w:tabs>
          <w:tab w:val="left" w:pos="2131"/>
          <w:tab w:val="left" w:pos="7339"/>
        </w:tabs>
        <w:spacing w:before="43" w:after="0" w:line="195" w:lineRule="exact"/>
        <w:ind w:left="955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314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[CHAP. 22</w:t>
      </w:r>
    </w:p>
    <w:p>
      <w:pPr>
        <w:spacing w:before="0" w:after="0" w:line="200" w:lineRule="exact"/>
        <w:ind w:left="950"/>
        <w:rPr>
          <w:sz w:val="24"/>
          <w:szCs w:val="24"/>
        </w:rPr>
      </w:pPr>
    </w:p>
    <w:p>
      <w:pPr>
        <w:tabs>
          <w:tab w:val="left" w:pos="2582"/>
          <w:tab w:val="left" w:pos="2832"/>
        </w:tabs>
        <w:spacing w:before="101" w:after="0" w:line="200" w:lineRule="exact"/>
        <w:ind w:left="950" w:right="1487"/>
        <w:jc w:val="both"/>
      </w:pPr>
      <w:r>
        <w:rPr>
          <w:rFonts w:ascii="Times New Roman" w:hAnsi="Times New Roman" w:cs="Times New Roman"/>
          <w:color w:val="000000"/>
          <w:spacing w:val="11"/>
          <w:w w:val="150"/>
          <w:sz w:val="12"/>
          <w:szCs w:val="12"/>
        </w:rPr>
        <w:t xml:space="preserve">of the Constitution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2"/>
          <w:szCs w:val="12"/>
        </w:rPr>
        <w:t xml:space="preserve">— 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color w:val="000000"/>
          <w:spacing w:val="10"/>
          <w:w w:val="150"/>
          <w:sz w:val="12"/>
          <w:szCs w:val="12"/>
        </w:rPr>
        <w:t xml:space="preserve">(a) the limited nature of the amending power under Article 368, </w:t>
      </w:r>
      <w:r>
        <w:rPr>
          <w:rFonts w:ascii="Times New Roman" w:hAnsi="Times New Roman" w:cs="Times New Roman"/>
          <w:color w:val="000000"/>
          <w:spacing w:val="12"/>
          <w:w w:val="150"/>
          <w:sz w:val="12"/>
          <w:szCs w:val="12"/>
        </w:rPr>
        <w:t xml:space="preserve">and (b) judicial review </w:t>
      </w:r>
      <w:r>
        <w:rPr>
          <w:rFonts w:ascii="Times New Roman" w:hAnsi="Times New Roman" w:cs="Times New Roman"/>
          <w:color w:val="000000"/>
          <w:spacing w:val="0"/>
          <w:w w:val="150"/>
          <w:sz w:val="12"/>
          <w:szCs w:val="12"/>
        </w:rPr>
        <w:t xml:space="preserve">— </w:t>
      </w:r>
      <w:r>
        <w:rPr>
          <w:rFonts w:ascii="Times New Roman" w:hAnsi="Times New Roman" w:cs="Times New Roman"/>
          <w:color w:val="000000"/>
          <w:spacing w:val="0"/>
          <w:w w:val="126"/>
          <w:sz w:val="12"/>
          <w:szCs w:val="12"/>
        </w:rPr>
        <w:t xml:space="preserve">in the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8"/>
          <w:szCs w:val="18"/>
        </w:rPr>
        <w:t xml:space="preserve">Minerva Mills </w:t>
      </w:r>
      <w:r>
        <w:rPr>
          <w:rFonts w:ascii="Times New Roman" w:hAnsi="Times New Roman" w:cs="Times New Roman"/>
          <w:color w:val="000000"/>
          <w:spacing w:val="0"/>
          <w:w w:val="126"/>
          <w:sz w:val="12"/>
          <w:szCs w:val="12"/>
        </w:rPr>
        <w:t xml:space="preserve">case.36</w:t>
      </w:r>
    </w:p>
    <w:p>
      <w:pPr>
        <w:spacing w:before="0" w:after="0" w:line="138" w:lineRule="exact"/>
        <w:ind w:left="1305"/>
        <w:rPr>
          <w:sz w:val="24"/>
          <w:szCs w:val="24"/>
        </w:rPr>
      </w:pPr>
    </w:p>
    <w:p>
      <w:pPr>
        <w:spacing w:before="14" w:after="0" w:line="138" w:lineRule="exact"/>
        <w:ind w:left="1305"/>
      </w:pPr>
      <w:r>
        <w:rPr>
          <w:rFonts w:ascii="Times New Roman" w:hAnsi="Times New Roman" w:cs="Times New Roman"/>
          <w:color w:val="000000"/>
          <w:spacing w:val="18"/>
          <w:w w:val="150"/>
          <w:sz w:val="12"/>
          <w:szCs w:val="12"/>
        </w:rPr>
        <w:t xml:space="preserve">A five-judge bench of the Supreme Court with a 3:2 majority ruled that the</w:t>
      </w:r>
    </w:p>
    <w:p>
      <w:pPr>
        <w:tabs>
          <w:tab w:val="left" w:pos="1747"/>
          <w:tab w:val="left" w:pos="2193"/>
        </w:tabs>
        <w:spacing w:before="60" w:after="0" w:line="190" w:lineRule="exact"/>
        <w:ind w:left="964" w:right="1465" w:firstLine="23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6"/>
          <w:sz w:val="16"/>
          <w:szCs w:val="16"/>
        </w:rPr>
        <w:t xml:space="preserve">Office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8"/>
          <w:sz w:val="16"/>
          <w:szCs w:val="16"/>
        </w:rPr>
        <w:t xml:space="preserve">of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pacing w:val="9"/>
          <w:w w:val="150"/>
          <w:sz w:val="16"/>
          <w:szCs w:val="16"/>
        </w:rPr>
        <w:t xml:space="preserve">Chief </w:t>
      </w:r>
      <w:r>
        <w:rPr>
          <w:rFonts w:ascii="Times New Roman" w:hAnsi="Times New Roman" w:cs="Times New Roman"/>
          <w:color w:val="000000"/>
          <w:spacing w:val="9"/>
          <w:w w:val="150"/>
          <w:sz w:val="12"/>
          <w:szCs w:val="12"/>
        </w:rPr>
        <w:t xml:space="preserve">  o</w:t>
      </w:r>
      <w:r>
        <w:rPr>
          <w:rFonts w:ascii="Times New Roman" w:hAnsi="Times New Roman" w:cs="Times New Roman"/>
          <w:color w:val="000000"/>
          <w:spacing w:val="9"/>
          <w:w w:val="150"/>
          <w:sz w:val="18"/>
          <w:szCs w:val="18"/>
          <w:vertAlign w:val="superscript"/>
        </w:rPr>
        <w:t xml:space="preserve">ff</w:t>
      </w:r>
      <w:r>
        <w:rPr>
          <w:rFonts w:ascii="Times New Roman" w:hAnsi="Times New Roman" w:cs="Times New Roman"/>
          <w:color w:val="000000"/>
          <w:spacing w:val="9"/>
          <w:w w:val="150"/>
          <w:sz w:val="12"/>
          <w:szCs w:val="12"/>
        </w:rPr>
        <w:t xml:space="preserve">ice of Chief Justice of India (CJ</w:t>
      </w:r>
      <w:r>
        <w:rPr>
          <w:rFonts w:ascii="Times New Roman" w:hAnsi="Times New Roman" w:cs="Times New Roman"/>
          <w:color w:val="000000"/>
          <w:spacing w:val="9"/>
          <w:w w:val="150"/>
          <w:sz w:val="18"/>
          <w:szCs w:val="18"/>
          <w:vertAlign w:val="superscript"/>
        </w:rPr>
        <w:t xml:space="preserve">I) comes under the</w:t>
      </w:r>
      <w:r>
        <w:rPr>
          <w:rFonts w:ascii="Times New Roman" w:hAnsi="Times New Roman" w:cs="Times New Roman"/>
          <w:color w:val="000000"/>
          <w:spacing w:val="9"/>
          <w:w w:val="150"/>
          <w:sz w:val="12"/>
          <w:szCs w:val="12"/>
        </w:rPr>
        <w:t xml:space="preserve"> purview </w:t>
      </w:r>
      <w:r>
        <w:rPr>
          <w:rFonts w:ascii="Times New Roman" w:hAnsi="Times New Roman" w:cs="Times New Roman"/>
          <w:color w:val="000000"/>
          <w:spacing w:val="4"/>
          <w:w w:val="150"/>
          <w:sz w:val="12"/>
          <w:szCs w:val="12"/>
        </w:rPr>
        <w:t xml:space="preserve">Justice </w:t>
      </w:r>
      <w:r>
        <w:rPr>
          <w:rFonts w:ascii="Times New Roman" w:hAnsi="Times New Roman" w:cs="Times New Roman"/>
          <w:b/>
          <w:color w:val="000000"/>
          <w:spacing w:val="4"/>
          <w:w w:val="150"/>
          <w:sz w:val="16"/>
          <w:szCs w:val="16"/>
        </w:rPr>
        <w:t xml:space="preserve">and the Right </w:t>
      </w:r>
      <w:r>
        <w:rPr>
          <w:rFonts w:ascii="Times New Roman" w:hAnsi="Times New Roman" w:cs="Times New Roman"/>
          <w:color w:val="000000"/>
          <w:spacing w:val="4"/>
          <w:w w:val="150"/>
          <w:sz w:val="12"/>
          <w:szCs w:val="12"/>
        </w:rPr>
        <w:t xml:space="preserve">  of the Right to Information </w:t>
      </w:r>
      <w:r>
        <w:rPr>
          <w:rFonts w:ascii="Times New Roman" w:hAnsi="Times New Roman" w:cs="Times New Roman"/>
          <w:color w:val="000000"/>
          <w:spacing w:val="15"/>
          <w:w w:val="150"/>
          <w:sz w:val="12"/>
          <w:szCs w:val="12"/>
        </w:rPr>
        <w:t xml:space="preserve">(RTI)  Act. The Supreme Court </w:t>
      </w:r>
      <w:r>
        <w:rPr>
          <w:rFonts w:ascii="Times New Roman" w:hAnsi="Times New Roman" w:cs="Times New Roman"/>
          <w:color w:val="000000"/>
          <w:spacing w:val="5"/>
          <w:w w:val="150"/>
          <w:sz w:val="12"/>
          <w:szCs w:val="12"/>
        </w:rPr>
        <w:t xml:space="preserve">to </w:t>
      </w:r>
      <w:r>
        <w:rPr>
          <w:rFonts w:ascii="Times New Roman" w:hAnsi="Times New Roman" w:cs="Times New Roman"/>
          <w:b/>
          <w:color w:val="000000"/>
          <w:spacing w:val="5"/>
          <w:w w:val="150"/>
          <w:sz w:val="16"/>
          <w:szCs w:val="16"/>
        </w:rPr>
        <w:t xml:space="preserve">Information Act, </w:t>
      </w:r>
      <w:r>
        <w:rPr>
          <w:rFonts w:ascii="Times New Roman" w:hAnsi="Times New Roman" w:cs="Times New Roman"/>
          <w:color w:val="000000"/>
          <w:spacing w:val="5"/>
          <w:w w:val="150"/>
          <w:sz w:val="12"/>
          <w:szCs w:val="12"/>
        </w:rPr>
        <w:t xml:space="preserve">  held that the public interest test would be applied to determine</w:t>
      </w:r>
    </w:p>
    <w:p>
      <w:pPr>
        <w:tabs>
          <w:tab w:val="left" w:pos="2827"/>
        </w:tabs>
        <w:spacing w:before="1" w:after="0" w:line="180" w:lineRule="exact"/>
        <w:ind w:left="993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0"/>
          <w:sz w:val="16"/>
          <w:szCs w:val="16"/>
        </w:rPr>
        <w:t xml:space="preserve">2005.</w:t>
      </w:r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color w:val="000000"/>
          <w:spacing w:val="13"/>
          <w:w w:val="150"/>
          <w:sz w:val="12"/>
          <w:szCs w:val="12"/>
        </w:rPr>
        <w:t xml:space="preserve">whether information should be furnished or would be exempt.</w:t>
      </w:r>
    </w:p>
    <w:p>
      <w:pPr>
        <w:spacing w:before="97" w:after="0" w:line="206" w:lineRule="exact"/>
        <w:ind w:left="950" w:right="1481" w:firstLine="359"/>
        <w:jc w:val="both"/>
      </w:pPr>
      <w:r>
        <w:rPr>
          <w:rFonts w:ascii="Times New Roman" w:hAnsi="Times New Roman" w:cs="Times New Roman"/>
          <w:color w:val="000000"/>
          <w:spacing w:val="15"/>
          <w:w w:val="150"/>
          <w:sz w:val="12"/>
          <w:szCs w:val="12"/>
        </w:rPr>
        <w:t xml:space="preserve">The Supreme Court held that the Chief Justice and the Supreme Court are not </w:t>
      </w:r>
      <w:r>
        <w:rPr>
          <w:rFonts w:ascii="Times New Roman" w:hAnsi="Times New Roman" w:cs="Times New Roman"/>
          <w:color w:val="000000"/>
          <w:spacing w:val="11"/>
          <w:w w:val="150"/>
          <w:sz w:val="12"/>
          <w:szCs w:val="12"/>
        </w:rPr>
        <w:t xml:space="preserve">two distinct and separate public authorities, albeit the latter is a public authority and </w:t>
      </w:r>
      <w:r>
        <w:rPr>
          <w:rFonts w:ascii="Times New Roman" w:hAnsi="Times New Roman" w:cs="Times New Roman"/>
          <w:color w:val="000000"/>
          <w:spacing w:val="14"/>
          <w:w w:val="150"/>
          <w:sz w:val="12"/>
          <w:szCs w:val="12"/>
        </w:rPr>
        <w:t xml:space="preserve">the Chief Justice and the judges together form and constitute the public authority, </w:t>
      </w:r>
      <w:r>
        <w:rPr>
          <w:rFonts w:ascii="Times New Roman" w:hAnsi="Times New Roman" w:cs="Times New Roman"/>
          <w:color w:val="000000"/>
          <w:spacing w:val="14"/>
          <w:w w:val="150"/>
          <w:sz w:val="12"/>
          <w:szCs w:val="12"/>
        </w:rPr>
        <w:t xml:space="preserve">that is, the Supreme Court of India."</w:t>
      </w:r>
    </w:p>
    <w:p>
      <w:pPr>
        <w:spacing w:before="79" w:after="0" w:line="200" w:lineRule="exact"/>
        <w:ind w:left="945" w:right="1481" w:firstLine="360"/>
        <w:jc w:val="both"/>
      </w:pPr>
      <w:r>
        <w:rPr>
          <w:rFonts w:ascii="Times New Roman" w:hAnsi="Times New Roman" w:cs="Times New Roman"/>
          <w:color w:val="000000"/>
          <w:spacing w:val="12"/>
          <w:w w:val="150"/>
          <w:sz w:val="12"/>
          <w:szCs w:val="12"/>
        </w:rPr>
        <w:t xml:space="preserve">The  Constitution  of India  in  its  Preamble  has  assured  the  people  a  three-</w:t>
      </w:r>
      <w:br/>
      <w:r>
        <w:rPr>
          <w:rFonts w:ascii="Times New Roman" w:hAnsi="Times New Roman" w:cs="Times New Roman"/>
          <w:color w:val="000000"/>
          <w:spacing w:val="13"/>
          <w:w w:val="150"/>
          <w:sz w:val="12"/>
          <w:szCs w:val="12"/>
        </w:rPr>
        <w:t xml:space="preserve">dimensional justice including social justice. Under the domain of "social justice",</w:t>
      </w:r>
    </w:p>
    <w:p>
      <w:pPr>
        <w:spacing w:before="0" w:after="0" w:line="117" w:lineRule="exact"/>
        <w:ind w:left="984"/>
        <w:rPr>
          <w:sz w:val="24"/>
          <w:szCs w:val="24"/>
        </w:rPr>
      </w:pPr>
    </w:p>
    <w:p>
      <w:pPr>
        <w:tabs>
          <w:tab w:val="left" w:pos="2832"/>
        </w:tabs>
        <w:spacing w:before="55" w:after="0" w:line="117" w:lineRule="exact"/>
        <w:ind w:left="984" w:right="1458"/>
        <w:jc w:val="both"/>
      </w:pPr>
      <w:r>
        <w:rPr>
          <w:rFonts w:ascii="Times New Roman" w:hAnsi="Times New Roman" w:cs="Times New Roman"/>
          <w:b/>
          <w:color w:val="000000"/>
          <w:spacing w:val="5"/>
          <w:w w:val="150"/>
          <w:sz w:val="16"/>
          <w:szCs w:val="16"/>
        </w:rPr>
        <w:t xml:space="preserve">Social Justice Bench </w:t>
      </w:r>
      <w:r>
        <w:rPr>
          <w:rFonts w:ascii="Times New Roman" w:hAnsi="Times New Roman" w:cs="Times New Roman"/>
          <w:color w:val="000000"/>
          <w:spacing w:val="5"/>
          <w:w w:val="150"/>
          <w:sz w:val="12"/>
          <w:szCs w:val="12"/>
        </w:rPr>
        <w:t xml:space="preserve"> s</w:t>
      </w: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  <w:vertAlign w:val="superscript"/>
        </w:rPr>
        <w:t xml:space="preserve">everal cases highlighting social issues are included, viz. th</w:t>
      </w:r>
      <w:r>
        <w:rPr>
          <w:rFonts w:ascii="Times New Roman" w:hAnsi="Times New Roman" w:cs="Times New Roman"/>
          <w:color w:val="000000"/>
          <w:spacing w:val="5"/>
          <w:w w:val="150"/>
          <w:sz w:val="18"/>
          <w:szCs w:val="18"/>
          <w:vertAlign w:val="superscript"/>
        </w:rPr>
        <w:t xml:space="preserve">e </w:t>
      </w:r>
      <w:br/>
      <w:r>
        <w:rPr>
          <w:rFonts w:ascii="Times New Roman" w:hAnsi="Times New Roman" w:cs="Times New Roman"/>
          <w:color w:val="000000"/>
          <w:sz w:val="12"/>
          <w:szCs w:val="12"/>
        </w:rPr>
        <w:tab/>
      </w:r>
      <w:r>
        <w:rPr>
          <w:rFonts w:ascii="Times New Roman" w:hAnsi="Times New Roman" w:cs="Times New Roman"/>
          <w:color w:val="000000"/>
          <w:spacing w:val="5"/>
          <w:w w:val="150"/>
          <w:sz w:val="12"/>
          <w:szCs w:val="12"/>
        </w:rPr>
        <w:t xml:space="preserve">release of surplus food-grains lying in stocks for the use of</w:t>
      </w:r>
    </w:p>
    <w:p>
      <w:pPr>
        <w:spacing w:before="0" w:after="0" w:line="144" w:lineRule="exact"/>
        <w:ind w:left="988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16"/>
          <w:szCs w:val="16"/>
        </w:rPr>
        <w:t xml:space="preserve">of Supreme Court.</w:t>
      </w:r>
    </w:p>
    <w:p>
      <w:pPr>
        <w:spacing w:before="0" w:after="0" w:line="108" w:lineRule="exact"/>
        <w:ind w:left="2832"/>
      </w:pPr>
      <w:r>
        <w:rPr>
          <w:rFonts w:ascii="Times New Roman" w:hAnsi="Times New Roman" w:cs="Times New Roman"/>
          <w:color w:val="000000"/>
          <w:spacing w:val="15"/>
          <w:w w:val="150"/>
          <w:sz w:val="12"/>
          <w:szCs w:val="12"/>
        </w:rPr>
        <w:t xml:space="preserve">people living in the drought affected areas, to frame a fresh</w:t>
      </w:r>
    </w:p>
    <w:p>
      <w:pPr>
        <w:spacing w:before="0" w:after="0" w:line="206" w:lineRule="exact"/>
        <w:ind w:left="940" w:right="1476" w:firstLine="4"/>
        <w:jc w:val="both"/>
      </w:pPr>
      <w:r>
        <w:rPr>
          <w:rFonts w:ascii="Times New Roman" w:hAnsi="Times New Roman" w:cs="Times New Roman"/>
          <w:color w:val="000000"/>
          <w:spacing w:val="14"/>
          <w:w w:val="150"/>
          <w:sz w:val="12"/>
          <w:szCs w:val="12"/>
        </w:rPr>
        <w:t xml:space="preserve">scheme for public distribution  of food-grains,  to  take steps  to prevent untimely </w:t>
      </w:r>
      <w:r>
        <w:rPr>
          <w:rFonts w:ascii="Times New Roman" w:hAnsi="Times New Roman" w:cs="Times New Roman"/>
          <w:color w:val="000000"/>
          <w:spacing w:val="14"/>
          <w:w w:val="150"/>
          <w:sz w:val="12"/>
          <w:szCs w:val="12"/>
        </w:rPr>
        <w:t xml:space="preserve">death of women and children for want of nutritious food, providing hygienic mid-</w:t>
      </w:r>
      <w:br/>
      <w:r>
        <w:rPr>
          <w:rFonts w:ascii="Times New Roman" w:hAnsi="Times New Roman" w:cs="Times New Roman"/>
          <w:color w:val="000000"/>
          <w:spacing w:val="13"/>
          <w:w w:val="150"/>
          <w:sz w:val="12"/>
          <w:szCs w:val="12"/>
        </w:rPr>
        <w:t xml:space="preserve">day meals, besides issues relating to children, to provide night shelter to destitutes </w:t>
      </w:r>
      <w:r>
        <w:rPr>
          <w:rFonts w:ascii="Times New Roman" w:hAnsi="Times New Roman" w:cs="Times New Roman"/>
          <w:color w:val="000000"/>
          <w:spacing w:val="15"/>
          <w:w w:val="150"/>
          <w:sz w:val="12"/>
          <w:szCs w:val="12"/>
        </w:rPr>
        <w:t xml:space="preserve">and homeless, to provide medical facilities to all the citizens irrespective of their </w:t>
      </w:r>
      <w:r>
        <w:rPr>
          <w:rFonts w:ascii="Times New Roman" w:hAnsi="Times New Roman" w:cs="Times New Roman"/>
          <w:color w:val="000000"/>
          <w:spacing w:val="12"/>
          <w:w w:val="150"/>
          <w:sz w:val="12"/>
          <w:szCs w:val="12"/>
        </w:rPr>
        <w:t xml:space="preserve">economic  conditions,  to provide  hygienic  drinking water,  to  provide  safety and </w:t>
      </w:r>
      <w:r>
        <w:rPr>
          <w:rFonts w:ascii="Times New Roman" w:hAnsi="Times New Roman" w:cs="Times New Roman"/>
          <w:color w:val="000000"/>
          <w:spacing w:val="14"/>
          <w:w w:val="150"/>
          <w:sz w:val="12"/>
          <w:szCs w:val="12"/>
        </w:rPr>
        <w:t xml:space="preserve">secured living conditions for the fair gender who are forced into prostitution, etc. </w:t>
      </w:r>
      <w:r>
        <w:rPr>
          <w:rFonts w:ascii="Times New Roman" w:hAnsi="Times New Roman" w:cs="Times New Roman"/>
          <w:color w:val="000000"/>
          <w:spacing w:val="15"/>
          <w:w w:val="150"/>
          <w:sz w:val="12"/>
          <w:szCs w:val="12"/>
        </w:rPr>
        <w:t xml:space="preserve">are pending in the Supreme Court for several years. In order to give a specialised </w:t>
      </w:r>
      <w:r>
        <w:rPr>
          <w:rFonts w:ascii="Times New Roman" w:hAnsi="Times New Roman" w:cs="Times New Roman"/>
          <w:color w:val="000000"/>
          <w:spacing w:val="10"/>
          <w:w w:val="150"/>
          <w:sz w:val="12"/>
          <w:szCs w:val="12"/>
        </w:rPr>
        <w:t xml:space="preserve">approach for their early disposal so that the masses will realize the fruits of the rights </w:t>
      </w:r>
      <w:r>
        <w:rPr>
          <w:rFonts w:ascii="Times New Roman" w:hAnsi="Times New Roman" w:cs="Times New Roman"/>
          <w:color w:val="000000"/>
          <w:spacing w:val="13"/>
          <w:w w:val="150"/>
          <w:sz w:val="12"/>
          <w:szCs w:val="12"/>
        </w:rPr>
        <w:t xml:space="preserve">provided to them by the constitutional text, the Hon'ble Chief Justice of India Shri </w:t>
      </w:r>
      <w:r>
        <w:rPr>
          <w:rFonts w:ascii="Times New Roman" w:hAnsi="Times New Roman" w:cs="Times New Roman"/>
          <w:color w:val="000000"/>
          <w:spacing w:val="14"/>
          <w:w w:val="150"/>
          <w:sz w:val="12"/>
          <w:szCs w:val="12"/>
        </w:rPr>
        <w:t xml:space="preserve">H L Dattu has ordered constitution of a Special Bench titled as the "Social Justice </w:t>
      </w:r>
      <w:r>
        <w:rPr>
          <w:rFonts w:ascii="Times New Roman" w:hAnsi="Times New Roman" w:cs="Times New Roman"/>
          <w:color w:val="000000"/>
          <w:spacing w:val="15"/>
          <w:w w:val="150"/>
          <w:sz w:val="12"/>
          <w:szCs w:val="12"/>
        </w:rPr>
        <w:t xml:space="preserve">Bench" to deal especially with the matters relating to society and its members, to </w:t>
      </w:r>
      <w:r>
        <w:rPr>
          <w:rFonts w:ascii="Times New Roman" w:hAnsi="Times New Roman" w:cs="Times New Roman"/>
          <w:color w:val="000000"/>
          <w:spacing w:val="12"/>
          <w:w w:val="150"/>
          <w:sz w:val="12"/>
          <w:szCs w:val="12"/>
        </w:rPr>
        <w:t xml:space="preserve">secure  social justice,  one  of the  ideals  of the  Indian  Constitution.  This Bench, </w:t>
      </w:r>
      <w:r>
        <w:rPr>
          <w:rFonts w:ascii="Times New Roman" w:hAnsi="Times New Roman" w:cs="Times New Roman"/>
          <w:color w:val="000000"/>
          <w:spacing w:val="17"/>
          <w:w w:val="150"/>
          <w:sz w:val="12"/>
          <w:szCs w:val="12"/>
        </w:rPr>
        <w:t xml:space="preserve">comprising of Hon'ble Mr Madan B Lokur J and Hon'ble Mr Uday U Lalit J, has </w:t>
      </w:r>
      <w:r>
        <w:rPr>
          <w:rFonts w:ascii="Times New Roman" w:hAnsi="Times New Roman" w:cs="Times New Roman"/>
          <w:color w:val="000000"/>
          <w:spacing w:val="18"/>
          <w:w w:val="150"/>
          <w:sz w:val="12"/>
          <w:szCs w:val="12"/>
        </w:rPr>
        <w:t xml:space="preserve">started functioning from </w:t>
      </w:r>
      <w:r>
        <w:rPr>
          <w:rFonts w:ascii="Times New Roman" w:hAnsi="Times New Roman" w:cs="Times New Roman"/>
          <w:color w:val="000000"/>
          <w:spacing w:val="20"/>
          <w:w w:val="150"/>
          <w:sz w:val="16"/>
          <w:szCs w:val="16"/>
        </w:rPr>
        <w:t xml:space="preserve">12 </w:t>
      </w:r>
      <w:r>
        <w:rPr>
          <w:rFonts w:ascii="Times New Roman" w:hAnsi="Times New Roman" w:cs="Times New Roman"/>
          <w:color w:val="000000"/>
          <w:spacing w:val="20"/>
          <w:w w:val="150"/>
          <w:sz w:val="12"/>
          <w:szCs w:val="12"/>
        </w:rPr>
        <w:t xml:space="preserve">December 2014 and in order to ensure that these </w:t>
      </w:r>
      <w:r>
        <w:rPr>
          <w:rFonts w:ascii="Times New Roman" w:hAnsi="Times New Roman" w:cs="Times New Roman"/>
          <w:color w:val="000000"/>
          <w:spacing w:val="12"/>
          <w:w w:val="150"/>
          <w:sz w:val="12"/>
          <w:szCs w:val="12"/>
        </w:rPr>
        <w:t xml:space="preserve">matters are monitored on a regular basis, they will continue to sit on every working </w:t>
      </w:r>
      <w:r>
        <w:rPr>
          <w:rFonts w:ascii="Times New Roman" w:hAnsi="Times New Roman" w:cs="Times New Roman"/>
          <w:color w:val="000000"/>
          <w:spacing w:val="13"/>
          <w:w w:val="150"/>
          <w:sz w:val="12"/>
          <w:szCs w:val="12"/>
        </w:rPr>
        <w:t xml:space="preserve">Friday at 2 pm. Not only pending cases, but fresh matters will also be dealt with by </w:t>
      </w:r>
      <w:r>
        <w:rPr>
          <w:rFonts w:ascii="Times New Roman" w:hAnsi="Times New Roman" w:cs="Times New Roman"/>
          <w:color w:val="000000"/>
          <w:spacing w:val="14"/>
          <w:w w:val="150"/>
          <w:sz w:val="12"/>
          <w:szCs w:val="12"/>
        </w:rPr>
        <w:t xml:space="preserve">this Special Bench. The social justice bench of the Supreme Court has directed all </w:t>
      </w:r>
      <w:r>
        <w:rPr>
          <w:rFonts w:ascii="Times New Roman" w:hAnsi="Times New Roman" w:cs="Times New Roman"/>
          <w:color w:val="000000"/>
          <w:spacing w:val="15"/>
          <w:w w:val="150"/>
          <w:sz w:val="12"/>
          <w:szCs w:val="12"/>
        </w:rPr>
        <w:t xml:space="preserve">the State Governments/Union Territories to make sure that free medical treatment </w:t>
      </w:r>
      <w:r>
        <w:rPr>
          <w:rFonts w:ascii="Times New Roman" w:hAnsi="Times New Roman" w:cs="Times New Roman"/>
          <w:color w:val="000000"/>
          <w:spacing w:val="12"/>
          <w:w w:val="150"/>
          <w:sz w:val="12"/>
          <w:szCs w:val="12"/>
        </w:rPr>
        <w:t xml:space="preserve">is provided to all the acid attack victims in government as well as private hospitals. </w:t>
      </w:r>
      <w:r>
        <w:rPr>
          <w:rFonts w:ascii="Times New Roman" w:hAnsi="Times New Roman" w:cs="Times New Roman"/>
          <w:color w:val="000000"/>
          <w:spacing w:val="12"/>
          <w:w w:val="150"/>
          <w:sz w:val="12"/>
          <w:szCs w:val="12"/>
        </w:rPr>
        <w:t xml:space="preserve">Criminal action can be taken against hospital/clinic for refusal to treat any victim of </w:t>
      </w:r>
      <w:r>
        <w:rPr>
          <w:rFonts w:ascii="Times New Roman" w:hAnsi="Times New Roman" w:cs="Times New Roman"/>
          <w:color w:val="000000"/>
          <w:spacing w:val="9"/>
          <w:w w:val="150"/>
          <w:sz w:val="12"/>
          <w:szCs w:val="12"/>
        </w:rPr>
        <w:t xml:space="preserve">an acid attack.ss</w:t>
      </w:r>
    </w:p>
    <w:p>
      <w:pPr>
        <w:spacing w:before="0" w:after="0" w:line="184" w:lineRule="exact"/>
        <w:ind w:left="3993"/>
        <w:rPr>
          <w:sz w:val="24"/>
          <w:szCs w:val="24"/>
        </w:rPr>
      </w:pPr>
    </w:p>
    <w:p>
      <w:pPr>
        <w:spacing w:before="128" w:after="0" w:line="184" w:lineRule="exact"/>
        <w:ind w:left="3993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16"/>
          <w:szCs w:val="16"/>
        </w:rPr>
        <w:t xml:space="preserve">REFERENCES</w:t>
      </w:r>
    </w:p>
    <w:p>
      <w:pPr>
        <w:tabs>
          <w:tab w:val="left" w:pos="1420"/>
          <w:tab w:val="left" w:pos="1440"/>
        </w:tabs>
        <w:spacing w:before="172" w:after="0" w:line="190" w:lineRule="exact"/>
        <w:ind w:left="1243" w:right="1474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1. The Constitution provided for seven judges besides the Chief Justice, subject to legislation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by Parliament. Parliament has enacted the Supreme Court (Number of Judges) Acts, 1956,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1986 and 2008, raising this number to 30 and further raised to 33 by the Supreme Court</w:t>
      </w:r>
    </w:p>
    <w:p>
      <w:pPr>
        <w:spacing w:before="0" w:after="0" w:line="180" w:lineRule="exact"/>
        <w:ind w:left="1425" w:right="1465" w:firstLine="1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4"/>
          <w:szCs w:val="14"/>
        </w:rPr>
        <w:t xml:space="preserve">(Number of Judges) Amendment Act, 2019 (37 of 2019) as published in the Gazette of </w:t>
      </w: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India, Extraordinary Part II section 1 dated 09 August 2019.</w:t>
      </w:r>
    </w:p>
    <w:p>
      <w:pPr>
        <w:tabs>
          <w:tab w:val="left" w:pos="3393"/>
          <w:tab w:val="left" w:pos="6028"/>
          <w:tab w:val="left" w:pos="7339"/>
        </w:tabs>
        <w:spacing w:before="15" w:after="0" w:line="161" w:lineRule="exact"/>
        <w:ind w:left="1128"/>
      </w:pP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1A. Vide the Constitutional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(Ninety-Ninth Amendment)  Act,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2"/>
          <w:w w:val="130"/>
          <w:sz w:val="14"/>
          <w:szCs w:val="14"/>
        </w:rPr>
        <w:t xml:space="preserve">2014 in Article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4"/>
          <w:w w:val="134"/>
          <w:sz w:val="14"/>
          <w:szCs w:val="14"/>
        </w:rPr>
        <w:t xml:space="preserve">127 of the</w:t>
      </w:r>
    </w:p>
    <w:p>
      <w:pPr>
        <w:spacing w:before="17" w:after="0" w:line="188" w:lineRule="exact"/>
        <w:ind w:left="1420" w:right="1465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14"/>
          <w:szCs w:val="14"/>
        </w:rPr>
        <w:t xml:space="preserve">Constitution, in clause (1), for the words, </w:t>
      </w:r>
      <w:r>
        <w:rPr>
          <w:rFonts w:ascii="Times New Roman" w:hAnsi="Times New Roman" w:cs="Times New Roman"/>
          <w:i/>
          <w:color w:val="000000"/>
          <w:spacing w:val="0"/>
          <w:w w:val="120"/>
          <w:sz w:val="14"/>
          <w:szCs w:val="14"/>
        </w:rPr>
        <w:t xml:space="preserve">"the ChiefJustice of India may, with the previous consent </w:t>
      </w:r>
      <w:r>
        <w:rPr>
          <w:rFonts w:ascii="Times New Roman" w:hAnsi="Times New Roman" w:cs="Times New Roman"/>
          <w:i/>
          <w:color w:val="000000"/>
          <w:spacing w:val="0"/>
          <w:w w:val="115"/>
          <w:sz w:val="14"/>
          <w:szCs w:val="14"/>
        </w:rPr>
        <w:t xml:space="preserve">of the President", </w:t>
      </w:r>
      <w:r>
        <w:rPr>
          <w:rFonts w:ascii="Times New Roman" w:hAnsi="Times New Roman" w:cs="Times New Roman"/>
          <w:color w:val="000000"/>
          <w:spacing w:val="0"/>
          <w:w w:val="115"/>
          <w:sz w:val="14"/>
          <w:szCs w:val="14"/>
        </w:rPr>
        <w:t xml:space="preserve">the words, </w:t>
      </w:r>
      <w:r>
        <w:rPr>
          <w:rFonts w:ascii="Times New Roman" w:hAnsi="Times New Roman" w:cs="Times New Roman"/>
          <w:i/>
          <w:color w:val="000000"/>
          <w:spacing w:val="0"/>
          <w:w w:val="115"/>
          <w:sz w:val="14"/>
          <w:szCs w:val="14"/>
        </w:rPr>
        <w:t xml:space="preserve">"the NationalJudicial Appointments Commission on a reference made to it 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14"/>
          <w:szCs w:val="14"/>
        </w:rPr>
        <w:t xml:space="preserve">by the Chiefjustice of India, may with the previous consent of the President' </w:t>
      </w:r>
      <w:r>
        <w:rPr>
          <w:rFonts w:ascii="Times New Roman" w:hAnsi="Times New Roman" w:cs="Times New Roman"/>
          <w:color w:val="000000"/>
          <w:spacing w:val="0"/>
          <w:w w:val="118"/>
          <w:sz w:val="14"/>
          <w:szCs w:val="14"/>
        </w:rPr>
        <w:t xml:space="preserve">shall be substituted, and </w:t>
      </w: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further in Article 128 of the Constitution, for the words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4"/>
          <w:szCs w:val="14"/>
        </w:rPr>
        <w:t xml:space="preserve">"the Chiefj ugice of India" , </w:t>
      </w: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the words,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4"/>
          <w:szCs w:val="14"/>
        </w:rPr>
        <w:t xml:space="preserve">"the Nationaljudicial Appointments Commission" </w:t>
      </w:r>
      <w:r>
        <w:rPr>
          <w:rFonts w:ascii="Times New Roman" w:hAnsi="Times New Roman" w:cs="Times New Roman"/>
          <w:color w:val="000000"/>
          <w:spacing w:val="0"/>
          <w:w w:val="122"/>
          <w:sz w:val="14"/>
          <w:szCs w:val="14"/>
        </w:rPr>
        <w:t xml:space="preserve">shall be substituted. This Amendment Act was </w:t>
      </w:r>
      <w:r>
        <w:rPr>
          <w:rFonts w:ascii="Times New Roman" w:hAnsi="Times New Roman" w:cs="Times New Roman"/>
          <w:color w:val="000000"/>
          <w:spacing w:val="0"/>
          <w:w w:val="121"/>
          <w:sz w:val="14"/>
          <w:szCs w:val="14"/>
        </w:rPr>
        <w:t xml:space="preserve">held invalid by the Supreme Court.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