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686"/>
        <w:rPr>
          <w:sz w:val="24"/>
          <w:szCs w:val="24"/>
        </w:rPr>
      </w:pPr>
    </w:p>
    <w:p>
      <w:pPr>
        <w:tabs>
          <w:tab w:val="left" w:pos="3739"/>
          <w:tab w:val="left" w:pos="7632"/>
        </w:tabs>
        <w:spacing w:before="147" w:after="0" w:line="184" w:lineRule="exact"/>
        <w:ind w:left="686" w:firstLine="0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6"/>
          <w:szCs w:val="16"/>
        </w:rPr>
        <w:t xml:space="preserve">CHAP. </w:t>
      </w:r>
      <w:r>
        <w:rPr>
          <w:rFonts w:ascii="Times New Roman" w:hAnsi="Times New Roman" w:cs="Times New Roman"/>
          <w:color w:val="000000"/>
          <w:spacing w:val="0"/>
          <w:w w:val="105"/>
          <w:sz w:val="16"/>
          <w:szCs w:val="16"/>
        </w:rPr>
        <w:t xml:space="preserve">22]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5"/>
          <w:sz w:val="16"/>
          <w:szCs w:val="16"/>
        </w:rPr>
        <w:t xml:space="preserve">THE SUPREME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5"/>
          <w:sz w:val="16"/>
          <w:szCs w:val="16"/>
        </w:rPr>
        <w:t xml:space="preserve">315</w:t>
      </w:r>
    </w:p>
    <w:p>
      <w:pPr>
        <w:spacing w:before="0" w:after="0" w:line="180" w:lineRule="exact"/>
        <w:ind w:left="979"/>
        <w:rPr>
          <w:sz w:val="24"/>
          <w:szCs w:val="24"/>
        </w:rPr>
      </w:pPr>
    </w:p>
    <w:p>
      <w:pPr>
        <w:tabs>
          <w:tab w:val="left" w:pos="1185"/>
          <w:tab w:val="left" w:pos="1166"/>
        </w:tabs>
        <w:spacing w:before="96" w:after="0" w:line="180" w:lineRule="exact"/>
        <w:ind w:left="979" w:right="1714"/>
        <w:jc w:val="both"/>
      </w:pP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2. </w:t>
      </w:r>
      <w:r>
        <w:rPr>
          <w:rFonts w:ascii="Times New Roman" w:hAnsi="Times New Roman" w:cs="Times New Roman"/>
          <w:i/>
          <w:color w:val="000000"/>
          <w:spacing w:val="0"/>
          <w:w w:val="103"/>
          <w:sz w:val="16"/>
          <w:szCs w:val="16"/>
        </w:rPr>
        <w:t xml:space="preserve">Supreme Court Advocates-on-Record Association v UOI, </w:t>
      </w: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AIR 1994 SC 268, pp 685, 688, 692, 693 :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(1993)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4 SCC 441 (nine-judge Bench). Pursuant to public interest petitions filed by 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Supreme Court Advocates-On-Recorded Association seeking relief of filling up of vacancies,</w:t>
      </w:r>
    </w:p>
    <w:p>
      <w:pPr>
        <w:spacing w:before="12" w:after="0" w:line="190" w:lineRule="exact"/>
        <w:ind w:left="1161" w:right="1709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 bench of nine judges over-ruled the judgment in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SP Gupta v UOI,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AIR 1982 SC 149 (1981) </w:t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which had upheld the primacy of the executive in the appointment ofjudges in the superior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courts. Later, in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Re Special Reference No 1 of 1998,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AIR 1999 SC 1, the court has, with a view</w:t>
      </w:r>
    </w:p>
    <w:p>
      <w:pPr>
        <w:spacing w:before="0" w:after="0" w:line="180" w:lineRule="exact"/>
        <w:ind w:left="1137" w:right="1695" w:firstLine="28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to making consultation more informed, transparent and meaningful, held that the Chief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Justice of India must consult four senior most judges in the selection process.</w:t>
      </w:r>
    </w:p>
    <w:p>
      <w:pPr>
        <w:tabs>
          <w:tab w:val="left" w:pos="3638"/>
        </w:tabs>
        <w:spacing w:before="1" w:after="0" w:line="178" w:lineRule="exact"/>
        <w:ind w:left="974"/>
      </w:pP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3. </w:t>
      </w:r>
      <w:r>
        <w:rPr>
          <w:rFonts w:ascii="Times New Roman" w:hAnsi="Times New Roman" w:cs="Times New Roman"/>
          <w:i/>
          <w:color w:val="000000"/>
          <w:spacing w:val="0"/>
          <w:w w:val="103"/>
          <w:sz w:val="16"/>
          <w:szCs w:val="16"/>
        </w:rPr>
        <w:t xml:space="preserve">Constituent Assembly Debates, </w:t>
      </w: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vol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8, 258. But there is no such safeguard in the case of</w:t>
      </w:r>
    </w:p>
    <w:p>
      <w:pPr>
        <w:spacing w:before="17" w:after="0" w:line="185" w:lineRule="exact"/>
        <w:ind w:left="1161" w:right="1714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appointment of a Chief Justice, and when AN Ray J, was appointed Chief Justice, after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superseding three senior judges — Hedge, Grover and Shelat, there was an uproar in which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the Supreme Court Bar Association joined, that the senior judges had been superseded </w:t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solely because their judgment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6"/>
          <w:szCs w:val="16"/>
        </w:rPr>
        <w:t xml:space="preserve">in Keshavananda's </w:t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case (AIR 1973 SC 1461 : (1973) 4 SCC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225) had been unfavourable to the Government.</w:t>
      </w:r>
    </w:p>
    <w:p>
      <w:pPr>
        <w:spacing w:before="0" w:after="0" w:line="190" w:lineRule="exact"/>
        <w:ind w:left="1156" w:right="1700" w:firstLine="239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Again, in January 1977 instead of HR Khanna J the senior most Judge MU Beg J was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made the ChiefJustice of India. Justice Khanna resigned just as the three judges had done a </w:t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few years back. It was said the supersession was because of his dissenting judgment in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6"/>
          <w:szCs w:val="16"/>
        </w:rPr>
        <w:t xml:space="preserve">ADM</w:t>
      </w:r>
    </w:p>
    <w:p>
      <w:pPr>
        <w:spacing w:before="0" w:after="0" w:line="167" w:lineRule="exact"/>
        <w:ind w:left="1296"/>
      </w:pP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Shukla,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AIR 1976 SC 1207: (1976) 2 SCC 521.</w:t>
      </w:r>
    </w:p>
    <w:p>
      <w:pPr>
        <w:tabs>
          <w:tab w:val="left" w:pos="4468"/>
        </w:tabs>
        <w:spacing w:before="0" w:after="0" w:line="190" w:lineRule="exact"/>
        <w:ind w:left="1156" w:right="1704" w:firstLine="235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After the judgment referred to in fn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2 above viz </w:t>
      </w:r>
      <w:r>
        <w:rPr>
          <w:rFonts w:ascii="Times New Roman" w:hAnsi="Times New Roman" w:cs="Times New Roman"/>
          <w:i/>
          <w:color w:val="000000"/>
          <w:spacing w:val="0"/>
          <w:w w:val="106"/>
          <w:sz w:val="16"/>
          <w:szCs w:val="16"/>
        </w:rPr>
        <w:t xml:space="preserve">Supreme Court Advocates-on-Record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Association v UOI,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(1993) 4 SCC 441, pp 685, 688, 692, 693, it appears that discretion of the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executive has been curtailed.</w:t>
      </w:r>
    </w:p>
    <w:p>
      <w:pPr>
        <w:tabs>
          <w:tab w:val="left" w:pos="1161"/>
          <w:tab w:val="left" w:pos="1161"/>
        </w:tabs>
        <w:spacing w:before="0" w:after="0" w:line="190" w:lineRule="exact"/>
        <w:ind w:left="969" w:right="1714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4.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Re Special Reference No 1 of 1998,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(1998) 7 SCC 739. The Bench expressed its optimistic view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that the successive CJIs shall henceforth act in accordance with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the Second Judges case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and 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opinion in the instant reference.</w:t>
      </w:r>
    </w:p>
    <w:p>
      <w:pPr>
        <w:tabs>
          <w:tab w:val="left" w:pos="2707"/>
        </w:tabs>
        <w:spacing w:before="1" w:after="0" w:line="158" w:lineRule="exact"/>
        <w:ind w:left="849"/>
      </w:pP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4A. The Constitutional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(Ninety Ninth Amendment) Act, 2014 as published in the Gazette</w:t>
      </w:r>
    </w:p>
    <w:p>
      <w:pPr>
        <w:spacing w:before="24" w:after="0" w:line="180" w:lineRule="exact"/>
        <w:ind w:left="1161" w:right="1728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of India, Extra Ordinary Part II dated 31 December 2014 which was held invalid by the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Supreme Court.</w:t>
      </w:r>
    </w:p>
    <w:p>
      <w:pPr>
        <w:tabs>
          <w:tab w:val="left" w:pos="1156"/>
          <w:tab w:val="left" w:pos="1156"/>
        </w:tabs>
        <w:spacing w:before="0" w:after="0" w:line="190" w:lineRule="exact"/>
        <w:ind w:left="854" w:right="1723"/>
        <w:jc w:val="left"/>
      </w:pP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413. National Judicial Appointment Commission Act, 2014 (No 40 of 2014) as published in 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Gazette of India, Extra Ordinary Part H dated 31 December 2014 which was held invalid by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the Supreme Court.</w:t>
      </w:r>
    </w:p>
    <w:p>
      <w:pPr>
        <w:spacing w:before="7" w:after="0" w:line="184" w:lineRule="exact"/>
        <w:ind w:left="964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5.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Re Reference under Article 317(1) of the Constitution of India,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(2009) 1 SCC 337, p </w:t>
      </w:r>
      <w:r>
        <w:rPr>
          <w:rFonts w:ascii="Times New Roman" w:hAnsi="Times New Roman" w:cs="Times New Roman"/>
          <w:color w:val="000000"/>
          <w:spacing w:val="0"/>
          <w:w w:val="108"/>
          <w:sz w:val="14"/>
          <w:szCs w:val="14"/>
        </w:rPr>
        <w:t xml:space="preserve">345: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[2009]</w:t>
      </w:r>
    </w:p>
    <w:p>
      <w:pPr>
        <w:spacing w:before="1" w:after="0" w:line="179" w:lineRule="exact"/>
        <w:ind w:left="1156"/>
      </w:pP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2 Mad LJ 1055.</w:t>
      </w:r>
    </w:p>
    <w:p>
      <w:pPr>
        <w:tabs>
          <w:tab w:val="left" w:pos="1151"/>
          <w:tab w:val="left" w:pos="1147"/>
        </w:tabs>
        <w:spacing w:before="0" w:after="0" w:line="190" w:lineRule="exact"/>
        <w:ind w:left="960" w:right="1723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6. The salaries ofjudges of the Supreme Court and the high courts has been enhanced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6"/>
          <w:szCs w:val="16"/>
        </w:rPr>
        <w:t xml:space="preserve">vide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High Court and Supreme Court Judges (Salaries and Conditions of Service) Amendment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Act, 2018 (10 of 2018) </w:t>
      </w: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(w.r.e.f. 1-1-2016).</w:t>
      </w:r>
    </w:p>
    <w:p>
      <w:pPr>
        <w:tabs>
          <w:tab w:val="left" w:pos="1147"/>
          <w:tab w:val="left" w:pos="1142"/>
        </w:tabs>
        <w:spacing w:before="0" w:after="0" w:line="180" w:lineRule="exact"/>
        <w:ind w:left="964" w:right="1733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7. But, curiously, there is no </w:t>
      </w:r>
      <w:r>
        <w:rPr>
          <w:rFonts w:ascii="Times New Roman" w:hAnsi="Times New Roman" w:cs="Times New Roman"/>
          <w:color w:val="000000"/>
          <w:spacing w:val="0"/>
          <w:w w:val="122"/>
          <w:sz w:val="14"/>
          <w:szCs w:val="14"/>
        </w:rPr>
        <w:t xml:space="preserve">bar against a retired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judge from being appointed to any office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under the Government [as there is in the case of the Comptroller and Auditor-General: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Article 148(4)]; and the expectation of such employment after retirement indirectly detracts</w:t>
      </w:r>
    </w:p>
    <w:p>
      <w:pPr>
        <w:spacing w:before="11" w:after="0" w:line="180" w:lineRule="exact"/>
        <w:ind w:left="1147" w:right="1741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4"/>
          <w:szCs w:val="14"/>
        </w:rPr>
        <w:t xml:space="preserve">from the independence of the judges from executive influence. In fact, retired judges have </w:t>
      </w: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been appointed to bold offices such as that of Governor, Ambassador and the like, apart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from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membership of numerous Commissions or Boards.</w:t>
      </w:r>
    </w:p>
    <w:p>
      <w:pPr>
        <w:tabs>
          <w:tab w:val="left" w:pos="3019"/>
        </w:tabs>
        <w:spacing w:before="17" w:after="0" w:line="184" w:lineRule="exact"/>
        <w:ind w:left="955"/>
      </w:pPr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8. </w:t>
      </w:r>
      <w:r>
        <w:rPr>
          <w:rFonts w:ascii="Times New Roman" w:hAnsi="Times New Roman" w:cs="Times New Roman"/>
          <w:i/>
          <w:color w:val="000000"/>
          <w:spacing w:val="0"/>
          <w:w w:val="102"/>
          <w:sz w:val="16"/>
          <w:szCs w:val="16"/>
        </w:rPr>
        <w:t xml:space="preserve">Attorney-General of India,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(1956) SCR 8; AK Aiyar,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The Constitution and Fundamental Rights,</w:t>
      </w:r>
    </w:p>
    <w:p>
      <w:pPr>
        <w:spacing w:before="6" w:after="0" w:line="172" w:lineRule="exact"/>
        <w:ind w:left="1161"/>
      </w:pP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1955, </w:t>
      </w:r>
      <w:r>
        <w:rPr>
          <w:rFonts w:ascii="Times New Roman" w:hAnsi="Times New Roman" w:cs="Times New Roman"/>
          <w:color w:val="000000"/>
          <w:spacing w:val="0"/>
          <w:w w:val="113"/>
          <w:sz w:val="14"/>
          <w:szCs w:val="14"/>
        </w:rPr>
        <w:t xml:space="preserve">p 15.</w:t>
      </w:r>
    </w:p>
    <w:p>
      <w:pPr>
        <w:spacing w:before="28" w:after="0" w:line="172" w:lineRule="exact"/>
        <w:ind w:left="955"/>
      </w:pPr>
      <w:r>
        <w:rPr>
          <w:rFonts w:ascii="Times New Roman" w:hAnsi="Times New Roman" w:cs="Times New Roman"/>
          <w:color w:val="000000"/>
          <w:spacing w:val="0"/>
          <w:w w:val="115"/>
          <w:sz w:val="14"/>
          <w:szCs w:val="14"/>
        </w:rPr>
        <w:t xml:space="preserve">9.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6"/>
          <w:szCs w:val="16"/>
        </w:rPr>
        <w:t xml:space="preserve">Aruna Ramchandra Shanbang v UOI, </w:t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AIR 2011 SC </w:t>
      </w:r>
      <w:r>
        <w:rPr>
          <w:rFonts w:ascii="Times New Roman" w:hAnsi="Times New Roman" w:cs="Times New Roman"/>
          <w:color w:val="000000"/>
          <w:spacing w:val="0"/>
          <w:w w:val="115"/>
          <w:sz w:val="14"/>
          <w:szCs w:val="14"/>
        </w:rPr>
        <w:t xml:space="preserve">1290, p 1326: (2011) 4 SCC 454.</w:t>
      </w:r>
    </w:p>
    <w:p>
      <w:pPr>
        <w:spacing w:before="1" w:after="0" w:line="181" w:lineRule="exact"/>
        <w:ind w:left="878"/>
      </w:pPr>
      <w:r>
        <w:rPr>
          <w:rFonts w:ascii="Times New Roman" w:hAnsi="Times New Roman" w:cs="Times New Roman"/>
          <w:color w:val="000000"/>
          <w:spacing w:val="0"/>
          <w:w w:val="108"/>
          <w:sz w:val="14"/>
          <w:szCs w:val="14"/>
        </w:rPr>
        <w:t xml:space="preserve">10.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Pyare Mohan Lal v State ofj harkhand,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AIR 2010 SC 3753: (2010) 10 SCC 693, p 704.</w:t>
      </w:r>
    </w:p>
    <w:p>
      <w:pPr>
        <w:spacing w:before="1" w:after="0" w:line="179" w:lineRule="exact"/>
        <w:ind w:left="873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11.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Vide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Author's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Constitutional Law of India,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Prentice-Hall of India, 1991, pp 168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et seq.</w:t>
      </w:r>
    </w:p>
    <w:p>
      <w:pPr>
        <w:spacing w:before="1" w:after="0" w:line="180" w:lineRule="exact"/>
        <w:ind w:left="873"/>
      </w:pP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12.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Yomeshbahi P Bhatt v State of Gujarat, </w:t>
      </w: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(2011) 6 SCC 312, p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315.</w:t>
      </w:r>
    </w:p>
    <w:p>
      <w:pPr>
        <w:spacing w:before="17" w:after="0" w:line="184" w:lineRule="exact"/>
        <w:ind w:left="878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13.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Madan Kishore v Major Sudhir Sewal,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(2008) 8 SCC 744, p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752: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(2008) (12 Scale 20).</w:t>
      </w:r>
    </w:p>
    <w:p>
      <w:pPr>
        <w:tabs>
          <w:tab w:val="left" w:pos="1137"/>
        </w:tabs>
        <w:spacing w:before="0" w:after="0" w:line="180" w:lineRule="exact"/>
        <w:ind w:left="873" w:right="1743"/>
        <w:jc w:val="both"/>
      </w:pPr>
      <w:r>
        <w:rPr>
          <w:rFonts w:ascii="Times New Roman" w:hAnsi="Times New Roman" w:cs="Times New Roman"/>
          <w:color w:val="000000"/>
          <w:spacing w:val="1"/>
          <w:w w:val="100"/>
          <w:sz w:val="16"/>
          <w:szCs w:val="16"/>
        </w:rPr>
        <w:t xml:space="preserve">14. </w:t>
      </w:r>
      <w:r>
        <w:rPr>
          <w:rFonts w:ascii="Times New Roman" w:hAnsi="Times New Roman" w:cs="Times New Roman"/>
          <w:i/>
          <w:color w:val="000000"/>
          <w:spacing w:val="1"/>
          <w:w w:val="100"/>
          <w:sz w:val="16"/>
          <w:szCs w:val="16"/>
        </w:rPr>
        <w:t xml:space="preserve">AK Gopalan v State of Madras, </w:t>
      </w:r>
      <w:r>
        <w:rPr>
          <w:rFonts w:ascii="Times New Roman" w:hAnsi="Times New Roman" w:cs="Times New Roman"/>
          <w:color w:val="000000"/>
          <w:spacing w:val="1"/>
          <w:w w:val="100"/>
          <w:sz w:val="16"/>
          <w:szCs w:val="16"/>
        </w:rPr>
        <w:t xml:space="preserve">AIR 1950 SC 27 : (1950) SCR 88 p </w:t>
      </w:r>
      <w:r>
        <w:rPr>
          <w:rFonts w:ascii="Times New Roman" w:hAnsi="Times New Roman" w:cs="Times New Roman"/>
          <w:i/>
          <w:color w:val="000000"/>
          <w:spacing w:val="1"/>
          <w:w w:val="100"/>
          <w:sz w:val="16"/>
          <w:szCs w:val="16"/>
        </w:rPr>
        <w:t xml:space="preserve">100., Reference Under Article 143,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00"/>
          <w:sz w:val="16"/>
          <w:szCs w:val="16"/>
        </w:rPr>
        <w:t xml:space="preserve">AIR 1965 SC 745, p </w:t>
      </w:r>
      <w:r>
        <w:rPr>
          <w:rFonts w:ascii="Times New Roman" w:hAnsi="Times New Roman" w:cs="Times New Roman"/>
          <w:i/>
          <w:color w:val="000000"/>
          <w:spacing w:val="2"/>
          <w:w w:val="100"/>
          <w:sz w:val="16"/>
          <w:szCs w:val="16"/>
        </w:rPr>
        <w:t xml:space="preserve">762.</w:t>
      </w:r>
    </w:p>
    <w:p>
      <w:pPr>
        <w:spacing w:before="17" w:after="0" w:line="184" w:lineRule="exact"/>
        <w:ind w:left="873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15.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Vide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Author's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Constitutional Law of India,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Prentice-Hall of India, 1991, p 270.</w:t>
      </w:r>
    </w:p>
    <w:p>
      <w:pPr>
        <w:spacing w:before="15" w:after="0" w:line="161" w:lineRule="exact"/>
        <w:ind w:left="868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16. Article 131,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6"/>
          <w:szCs w:val="16"/>
        </w:rPr>
        <w:t xml:space="preserve">proviso, </w:t>
      </w:r>
      <w:r>
        <w:rPr>
          <w:rFonts w:ascii="Times New Roman" w:hAnsi="Times New Roman" w:cs="Times New Roman"/>
          <w:color w:val="000000"/>
          <w:spacing w:val="0"/>
          <w:w w:val="123"/>
          <w:sz w:val="14"/>
          <w:szCs w:val="14"/>
        </w:rPr>
        <w:t xml:space="preserve">as amended by the Constitution (Seventh Amendment) Act, 1956.</w:t>
      </w:r>
    </w:p>
    <w:p>
      <w:pPr>
        <w:spacing w:before="20" w:after="0" w:line="184" w:lineRule="exact"/>
        <w:ind w:left="873"/>
      </w:pPr>
      <w:r>
        <w:rPr>
          <w:rFonts w:ascii="Times New Roman" w:hAnsi="Times New Roman" w:cs="Times New Roman"/>
          <w:color w:val="000000"/>
          <w:spacing w:val="0"/>
          <w:w w:val="111"/>
          <w:sz w:val="14"/>
          <w:szCs w:val="14"/>
        </w:rPr>
        <w:t xml:space="preserve">17.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State of West Bengal v UOI, </w:t>
      </w:r>
      <w:r>
        <w:rPr>
          <w:rFonts w:ascii="Times New Roman" w:hAnsi="Times New Roman" w:cs="Times New Roman"/>
          <w:color w:val="000000"/>
          <w:spacing w:val="0"/>
          <w:w w:val="111"/>
          <w:sz w:val="14"/>
          <w:szCs w:val="14"/>
        </w:rPr>
        <w:t xml:space="preserve">AIR 1963 SC 1241: (1964)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1 SCR 371.</w:t>
      </w:r>
    </w:p>
    <w:p>
      <w:pPr>
        <w:spacing w:before="1" w:after="0" w:line="179" w:lineRule="exact"/>
        <w:ind w:left="753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17A.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See UP State Spinning Co Ltd v </w:t>
      </w:r>
      <w:r>
        <w:rPr>
          <w:rFonts w:ascii="Times New Roman" w:hAnsi="Times New Roman" w:cs="Times New Roman"/>
          <w:color w:val="000000"/>
          <w:spacing w:val="0"/>
          <w:w w:val="111"/>
          <w:sz w:val="14"/>
          <w:szCs w:val="14"/>
        </w:rPr>
        <w:t xml:space="preserve">RS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Pandey,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(2005) 8 SCC 264: (2005) JT 12 SC 242: (2006)</w:t>
      </w:r>
    </w:p>
    <w:p>
      <w:pPr>
        <w:tabs>
          <w:tab w:val="left" w:pos="6460"/>
          <w:tab w:val="left" w:pos="7022"/>
        </w:tabs>
        <w:spacing w:before="0" w:after="0" w:line="186" w:lineRule="exact"/>
        <w:ind w:left="1142" w:right="1723" w:firstLine="14"/>
        <w:jc w:val="both"/>
      </w:pP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1 LLJ 254;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State of Uttar Pradesh v Mohammad Nooh, </w:t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AIR 1958 SC 86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(1958)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1 SCR 595 : </w:t>
      </w:r>
      <w:r>
        <w:rPr>
          <w:rFonts w:ascii="Times New Roman" w:hAnsi="Times New Roman" w:cs="Times New Roman"/>
          <w:color w:val="000000"/>
          <w:spacing w:val="0"/>
          <w:w w:val="108"/>
          <w:sz w:val="14"/>
          <w:szCs w:val="14"/>
        </w:rPr>
        <w:t xml:space="preserve">(1958) SCJ 242;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Harbanslal Sahnia v Indian Oil Corporation Ltd,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AIR 2003 SC 2120: (2003) AIR </w:t>
      </w:r>
      <w:r>
        <w:rPr>
          <w:rFonts w:ascii="Times New Roman" w:hAnsi="Times New Roman" w:cs="Times New Roman"/>
          <w:color w:val="000000"/>
          <w:spacing w:val="0"/>
          <w:w w:val="109"/>
          <w:sz w:val="14"/>
          <w:szCs w:val="14"/>
        </w:rPr>
        <w:t xml:space="preserve">SCW 126: (2003) 2 SCC 107;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Shrimanth Balasaheb Patil v Hon'ble Speaker, Karnataka Legislative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Assembly,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(2020) 2 SCC 595: (2020) SCC OnLine SC 1454: (2020) 1 Mad LJ 335.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