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99" w:lineRule="exact"/>
        <w:ind w:left="3427"/>
        <w:rPr>
          <w:sz w:val="24"/>
          <w:szCs w:val="24"/>
        </w:rPr>
      </w:pPr>
    </w:p>
    <w:p>
      <w:pPr>
        <w:spacing w:before="0" w:after="0" w:line="299" w:lineRule="exact"/>
        <w:ind w:left="3427"/>
        <w:rPr>
          <w:sz w:val="24"/>
          <w:szCs w:val="24"/>
        </w:rPr>
      </w:pPr>
    </w:p>
    <w:p>
      <w:pPr>
        <w:spacing w:before="0" w:after="0" w:line="299" w:lineRule="exact"/>
        <w:ind w:left="3427"/>
        <w:rPr>
          <w:sz w:val="24"/>
          <w:szCs w:val="24"/>
        </w:rPr>
      </w:pPr>
    </w:p>
    <w:p>
      <w:pPr>
        <w:spacing w:before="0" w:after="0" w:line="299" w:lineRule="exact"/>
        <w:ind w:left="3427"/>
        <w:rPr>
          <w:sz w:val="24"/>
          <w:szCs w:val="24"/>
        </w:rPr>
      </w:pPr>
    </w:p>
    <w:p>
      <w:pPr>
        <w:spacing w:before="0" w:after="0" w:line="299" w:lineRule="exact"/>
        <w:ind w:left="3427"/>
        <w:rPr>
          <w:sz w:val="24"/>
          <w:szCs w:val="24"/>
        </w:rPr>
      </w:pPr>
    </w:p>
    <w:p>
      <w:pPr>
        <w:spacing w:before="138" w:after="0" w:line="299" w:lineRule="exact"/>
        <w:ind w:left="3427"/>
      </w:pPr>
      <w:r>
        <w:rPr>
          <w:rFonts w:ascii="Times New Roman" w:hAnsi="Times New Roman" w:cs="Times New Roman"/>
          <w:b/>
          <w:color w:val="000000"/>
          <w:spacing w:val="0"/>
          <w:w w:val="103"/>
          <w:sz w:val="26"/>
          <w:szCs w:val="26"/>
        </w:rPr>
        <w:t xml:space="preserve">CHAPTER 23</w:t>
      </w:r>
    </w:p>
    <w:p>
      <w:pPr>
        <w:spacing w:before="181" w:after="0" w:line="299" w:lineRule="exact"/>
        <w:ind w:left="2856"/>
      </w:pPr>
      <w:r>
        <w:rPr>
          <w:rFonts w:ascii="Times New Roman" w:hAnsi="Times New Roman" w:cs="Times New Roman"/>
          <w:b/>
          <w:color w:val="000000"/>
          <w:spacing w:val="0"/>
          <w:w w:val="120"/>
          <w:sz w:val="26"/>
          <w:szCs w:val="26"/>
        </w:rPr>
        <w:t xml:space="preserve">THE HIGH COURT</w:t>
      </w:r>
    </w:p>
    <w:p>
      <w:pPr>
        <w:spacing w:before="0" w:after="0" w:line="184" w:lineRule="exact"/>
        <w:ind w:left="1017"/>
        <w:rPr>
          <w:sz w:val="24"/>
          <w:szCs w:val="24"/>
        </w:rPr>
      </w:pPr>
    </w:p>
    <w:p>
      <w:pPr>
        <w:spacing w:before="172" w:after="0" w:line="184" w:lineRule="exact"/>
        <w:ind w:left="1017"/>
      </w:pP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There shall be a high court in each State </w:t>
      </w:r>
      <w:r>
        <w:rPr>
          <w:rFonts w:ascii="Times New Roman" w:hAnsi="Times New Roman" w:cs="Times New Roman"/>
          <w:i/>
          <w:color w:val="000000"/>
          <w:spacing w:val="2"/>
          <w:w w:val="131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214] but Parliament has the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0" w:after="0" w:line="161" w:lineRule="exact"/>
        <w:ind w:left="686"/>
        <w:rPr>
          <w:sz w:val="24"/>
          <w:szCs w:val="24"/>
        </w:rPr>
      </w:pPr>
    </w:p>
    <w:p>
      <w:pPr>
        <w:spacing w:before="2" w:after="0" w:line="161" w:lineRule="exact"/>
        <w:ind w:left="686"/>
        <w:jc w:val="left"/>
      </w:pPr>
      <w:r>
        <w:rPr>
          <w:rFonts w:ascii="Times New Roman" w:hAnsi="Times New Roman" w:cs="Times New Roman"/>
          <w:color w:val="000000"/>
          <w:spacing w:val="3"/>
          <w:w w:val="131"/>
          <w:sz w:val="14"/>
          <w:szCs w:val="14"/>
        </w:rPr>
        <w:t xml:space="preserve">The High Court of a</w:t>
      </w:r>
    </w:p>
    <w:p>
      <w:pPr>
        <w:spacing w:before="5" w:after="0" w:line="182" w:lineRule="exact"/>
        <w:ind w:left="691"/>
        <w:jc w:val="left"/>
      </w:pP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state.</w:t>
      </w:r>
    </w:p>
    <w:p>
      <w:pPr>
        <w:spacing w:before="0" w:after="0" w:line="192" w:lineRule="exact"/>
        <w:ind w:left="691"/>
        <w:rPr>
          <w:sz w:val="24"/>
          <w:szCs w:val="24"/>
        </w:rPr>
      </w:pPr>
    </w:p>
    <w:p>
      <w:pPr>
        <w:spacing w:before="112" w:after="0" w:line="192" w:lineRule="exact"/>
        <w:ind w:left="691" w:right="12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4"/>
          <w:szCs w:val="14"/>
        </w:rPr>
        <w:t xml:space="preserve">Constitution of High </w:t>
      </w:r>
      <w:br/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Courts.</w:t>
      </w:r>
    </w:p>
    <w:p>
      <w:pPr>
        <w:spacing w:before="39" w:after="0" w:line="184" w:lineRule="exact"/>
        <w:ind w:left="39"/>
        <w:jc w:val="left"/>
      </w:pP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br w:type="column"/>
        <w:t xml:space="preserve">power to establish a common high court for two or more</w:t>
      </w:r>
    </w:p>
    <w:p>
      <w:pPr>
        <w:spacing w:before="0" w:after="0" w:line="206" w:lineRule="exact"/>
        <w:ind w:left="10" w:right="1670" w:firstLine="43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States </w:t>
      </w:r>
      <w:r>
        <w:rPr>
          <w:rFonts w:ascii="Times New Roman" w:hAnsi="Times New Roman" w:cs="Times New Roman"/>
          <w:i/>
          <w:color w:val="000000"/>
          <w:spacing w:val="2"/>
          <w:w w:val="128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231]. The high court stands at the head of the </w:t>
      </w:r>
      <w:br/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Judiciary in the State [see Table XVII].</w:t>
      </w:r>
    </w:p>
    <w:p>
      <w:pPr>
        <w:spacing w:before="79" w:after="0" w:line="203" w:lineRule="exact"/>
        <w:ind w:left="39" w:right="1670" w:firstLine="384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(a) Every high court shall consist of a Chief Justice and </w:t>
      </w:r>
      <w:br/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such other judges as the President of India may from time to </w:t>
      </w:r>
      <w:br/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time appoint.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380" w:space="110" w:equalWidth="0"/>
            <w:col w:w="7130" w:space="160" w:equalWidth="0"/>
          </w:cols>
        </w:sectPr>
      </w:pPr>
    </w:p>
    <w:p>
      <w:pPr>
        <w:spacing w:before="73" w:after="0" w:line="206" w:lineRule="exact"/>
        <w:ind w:left="648" w:right="1751" w:firstLine="388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(b) Besides, the President has the power to appoint (i) </w:t>
      </w:r>
      <w:r>
        <w:rPr>
          <w:rFonts w:ascii="Times New Roman" w:hAnsi="Times New Roman" w:cs="Times New Roman"/>
          <w:i/>
          <w:color w:val="000000"/>
          <w:spacing w:val="2"/>
          <w:w w:val="130"/>
          <w:sz w:val="16"/>
          <w:szCs w:val="16"/>
        </w:rPr>
        <w:t xml:space="preserve">additional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judges for a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temporary period not exceeding two years, for the clearance of arrears of work in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a high court; (ii) an acting judge, when a permanent judge of a high court (other </w:t>
      </w:r>
      <w:r>
        <w:rPr>
          <w:rFonts w:ascii="Times New Roman" w:hAnsi="Times New Roman" w:cs="Times New Roman"/>
          <w:color w:val="000000"/>
          <w:spacing w:val="3"/>
          <w:w w:val="133"/>
          <w:sz w:val="16"/>
          <w:szCs w:val="16"/>
        </w:rPr>
        <w:t xml:space="preserve">than a Chief Justice) is temporarily absent or unable to perform his duties or is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appointed to act temporarily as ChiefJustice. The acting judge holds office until the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permanent judge resumes his office. But neither an additional nor an acting Judge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can hold office beyond the age of 62 years.'</w:t>
      </w:r>
    </w:p>
    <w:p>
      <w:pPr>
        <w:spacing w:before="93" w:after="0" w:line="184" w:lineRule="exact"/>
        <w:ind w:left="1008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Every Judge of a High Court shall be appointed by the President. In making the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</w:sectPr>
      </w:pPr>
    </w:p>
    <w:p>
      <w:pPr>
        <w:tabs>
          <w:tab w:val="left" w:pos="2020"/>
        </w:tabs>
        <w:spacing w:before="101" w:after="0" w:line="161" w:lineRule="exact"/>
        <w:ind w:left="671"/>
        <w:jc w:val="left"/>
      </w:pPr>
      <w:r>
        <w:rPr>
          <w:rFonts w:ascii="Times New Roman" w:hAnsi="Times New Roman" w:cs="Times New Roman"/>
          <w:color w:val="000000"/>
          <w:spacing w:val="1"/>
          <w:w w:val="127"/>
          <w:sz w:val="14"/>
          <w:szCs w:val="14"/>
        </w:rPr>
        <w:t xml:space="preserve">Appointment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1"/>
          <w:w w:val="127"/>
          <w:sz w:val="14"/>
          <w:szCs w:val="14"/>
        </w:rPr>
        <w:t xml:space="preserve">and</w:t>
      </w:r>
    </w:p>
    <w:p>
      <w:pPr>
        <w:tabs>
          <w:tab w:val="left" w:pos="2058"/>
        </w:tabs>
        <w:spacing w:before="3" w:after="0" w:line="189" w:lineRule="exact"/>
        <w:ind w:left="681" w:right="13" w:firstLine="4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4"/>
          <w:szCs w:val="14"/>
        </w:rPr>
        <w:t xml:space="preserve">Conditions   of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position w:val="-4"/>
          <w:w w:val="127"/>
          <w:sz w:val="14"/>
          <w:szCs w:val="14"/>
        </w:rPr>
        <w:t xml:space="preserve">the </w:t>
      </w:r>
      <w:br/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Office of a Judge of a </w:t>
      </w:r>
      <w:br/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High Court.</w:t>
      </w:r>
    </w:p>
    <w:p>
      <w:pPr>
        <w:tabs>
          <w:tab w:val="left" w:pos="68"/>
        </w:tabs>
        <w:spacing w:before="16" w:after="0" w:line="206" w:lineRule="exact"/>
        <w:ind w:left="10" w:right="1655" w:firstLine="38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br w:type="column"/>
        <w:t xml:space="preserve">appointment, the President shall consult the Chief Justice of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India </w:t>
      </w: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(CJI), the Governor of the State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(and also the Chief </w:t>
      </w:r>
      <w:br/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Justice of that High Court in the matter of appointment of a </w:t>
      </w:r>
      <w:br/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judge other than the Chief Justice).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371" w:space="110" w:equalWidth="0"/>
            <w:col w:w="7139" w:space="160" w:equalWidth="0"/>
          </w:cols>
        </w:sectPr>
      </w:pPr>
    </w:p>
    <w:p>
      <w:pPr>
        <w:spacing w:before="80" w:after="0" w:line="203" w:lineRule="exact"/>
        <w:ind w:left="638" w:right="1756" w:firstLine="364"/>
        <w:jc w:val="both"/>
      </w:pP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Participatory Consultative Process.—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A nine-judge Bench of the Supreme Court'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has held that (1) </w:t>
      </w:r>
      <w:r>
        <w:rPr>
          <w:rFonts w:ascii="Times New Roman" w:hAnsi="Times New Roman" w:cs="Times New Roman"/>
          <w:color w:val="000000"/>
          <w:spacing w:val="3"/>
          <w:w w:val="132"/>
          <w:sz w:val="14"/>
          <w:szCs w:val="14"/>
        </w:rPr>
        <w:t xml:space="preserve">the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process of the appointment of the judges of the high courts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is an integrated "participatory consultative process" for selecting the best and most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suitable persons available for appointment; and all the constitutional functionaries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must perform this duty collectively with a view primarily to reach an agreed decision,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subserving the constitutional purpose, so that the occasion of primacy does not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arise.</w:t>
      </w:r>
    </w:p>
    <w:p>
      <w:pPr>
        <w:spacing w:before="100" w:after="0" w:line="200" w:lineRule="exact"/>
        <w:ind w:left="638" w:right="1761" w:firstLine="383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(2) Initiation of the proposal for appointment in the case of high court must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invariably be made by the Chief Justice of that high court.</w:t>
      </w:r>
    </w:p>
    <w:p>
      <w:pPr>
        <w:spacing w:before="76" w:after="0" w:line="206" w:lineRule="exact"/>
        <w:ind w:left="628" w:right="1761" w:firstLine="393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(3) In the event of conflicting opinions by the constitutional functionaries,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the opinion of the judiciary "symbolised by the view of the Chief Justice of India"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formed by him in consultation with two senior-most Judges of the Supreme Court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who come from that State, would have supremacy.</w:t>
      </w:r>
    </w:p>
    <w:p>
      <w:pPr>
        <w:spacing w:before="63" w:after="0" w:line="220" w:lineRule="exact"/>
        <w:ind w:left="638" w:right="1770" w:firstLine="383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8"/>
          <w:szCs w:val="18"/>
        </w:rPr>
        <w:t xml:space="preserve">(4)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No appointment of any judge of a high court can be made unless it is in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conformity with the opinion of the CJI.</w:t>
      </w:r>
    </w:p>
    <w:p>
      <w:pPr>
        <w:spacing w:before="72" w:after="0" w:line="206" w:lineRule="exact"/>
        <w:ind w:left="633" w:right="1771" w:firstLine="388"/>
        <w:jc w:val="both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(5) In exceptional cases alone, for stated strong cogent reasons, disclosed to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the CJI, indicating that the recommendee is not suitable for appointment, that the </w:t>
      </w: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appointment recommended by the CJI may not be made. However, if the stated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reasons are not accepted by the CJI and the other judges of the Supreme Court,</w:t>
      </w:r>
    </w:p>
    <w:p>
      <w:pPr>
        <w:spacing w:before="0" w:after="0" w:line="184" w:lineRule="exact"/>
        <w:ind w:left="4108"/>
        <w:rPr>
          <w:sz w:val="24"/>
          <w:szCs w:val="24"/>
        </w:rPr>
      </w:pPr>
    </w:p>
    <w:p>
      <w:pPr>
        <w:spacing w:before="0" w:after="0" w:line="184" w:lineRule="exact"/>
        <w:ind w:left="4108"/>
        <w:rPr>
          <w:sz w:val="24"/>
          <w:szCs w:val="24"/>
        </w:rPr>
      </w:pPr>
    </w:p>
    <w:p>
      <w:pPr>
        <w:spacing w:before="0" w:after="0" w:line="184" w:lineRule="exact"/>
        <w:ind w:left="4108"/>
        <w:rPr>
          <w:sz w:val="24"/>
          <w:szCs w:val="24"/>
        </w:rPr>
      </w:pPr>
    </w:p>
    <w:p>
      <w:pPr>
        <w:spacing w:before="41" w:after="0" w:line="184" w:lineRule="exact"/>
        <w:ind w:left="4108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317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