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667"/>
        <w:rPr>
          <w:sz w:val="24"/>
          <w:szCs w:val="24"/>
        </w:rPr>
      </w:pPr>
    </w:p>
    <w:p>
      <w:pPr>
        <w:tabs>
          <w:tab w:val="left" w:pos="3863"/>
          <w:tab w:val="left" w:pos="7612"/>
        </w:tabs>
        <w:spacing w:before="113" w:after="0" w:line="184" w:lineRule="exact"/>
        <w:ind w:left="667" w:firstLine="0"/>
      </w:pP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CHAP. </w:t>
      </w:r>
      <w:r>
        <w:rPr>
          <w:rFonts w:ascii="Times New Roman" w:hAnsi="Times New Roman" w:cs="Times New Roman"/>
          <w:color w:val="000000"/>
          <w:spacing w:val="0"/>
          <w:w w:val="118"/>
          <w:sz w:val="12"/>
          <w:szCs w:val="12"/>
        </w:rPr>
        <w:t xml:space="preserve">23]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THE HIGH COURT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319</w:t>
      </w:r>
    </w:p>
    <w:p>
      <w:pPr>
        <w:spacing w:before="0" w:after="0" w:line="204" w:lineRule="exact"/>
        <w:ind w:left="652"/>
        <w:rPr>
          <w:sz w:val="24"/>
          <w:szCs w:val="24"/>
        </w:rPr>
      </w:pPr>
    </w:p>
    <w:p>
      <w:pPr>
        <w:tabs>
          <w:tab w:val="left" w:pos="6739"/>
        </w:tabs>
        <w:spacing w:before="86" w:after="0" w:line="204" w:lineRule="exact"/>
        <w:ind w:left="652" w:right="1743" w:firstLine="369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The constitutionality of the provisions of the Constitutional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(Ninety-ninth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Amendment) Act, 2014 and the National Judicial Appointment Commission Act,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2014 were challenged in the Supreme Court. In response to the same, five-judge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Bench of the Supreme Court declared the 99th Amendment Act, 2014 as well as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the National Judicial Appointments Commission Act, 2014 to be unconstitutional.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(Refer chapter 4).</w:t>
      </w:r>
    </w:p>
    <w:p>
      <w:pPr>
        <w:spacing w:before="100" w:after="0" w:line="200" w:lineRule="exact"/>
        <w:ind w:left="619" w:right="1723" w:firstLine="388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 judge of a high court gets a salary of Rs 2,25,000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per mensem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while the Chief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Justice gets Rs 2,50,000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per mensem.5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He is also entitled to such allowances and rights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141" w:after="0" w:line="161" w:lineRule="exact"/>
        <w:ind w:left="691"/>
        <w:jc w:val="left"/>
      </w:pPr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Salaries, etc.</w:t>
      </w:r>
    </w:p>
    <w:p>
      <w:pPr>
        <w:spacing w:before="3" w:after="0" w:line="206" w:lineRule="exact"/>
        <w:ind w:left="10" w:right="1680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br w:type="column"/>
        <w:t xml:space="preserve">in respect of leave and pension as Parliament may from time </w:t>
      </w:r>
      <w:br/>
      <w:r>
        <w:rPr>
          <w:rFonts w:ascii="Times New Roman" w:hAnsi="Times New Roman" w:cs="Times New Roman"/>
          <w:color w:val="000000"/>
          <w:spacing w:val="3"/>
          <w:w w:val="130"/>
          <w:sz w:val="14"/>
          <w:szCs w:val="14"/>
        </w:rPr>
        <w:t xml:space="preserve">to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time determine, but such allowances and rights cannot be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369" w:space="170" w:equalWidth="0"/>
            <w:col w:w="7091" w:space="170" w:equalWidth="0"/>
          </w:cols>
        </w:sectPr>
      </w:pPr>
    </w:p>
    <w:p>
      <w:pPr>
        <w:spacing w:before="22" w:after="0" w:line="180" w:lineRule="exact"/>
        <w:ind w:left="648" w:right="1733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varied by Parliament to the disadvantage of a judge after his appointment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221].</w:t>
      </w:r>
    </w:p>
    <w:p>
      <w:pPr>
        <w:spacing w:before="117" w:after="0" w:line="184" w:lineRule="exact"/>
        <w:ind w:left="1012"/>
      </w:pP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The  qualifications  laid  down  in  the  Constitution  for being eligible for</w:t>
      </w:r>
    </w:p>
    <w:p>
      <w:pPr>
        <w:tabs>
          <w:tab w:val="left" w:pos="2073"/>
        </w:tabs>
        <w:spacing w:before="109" w:after="0" w:line="161" w:lineRule="exact"/>
        <w:ind w:left="676" w:firstLine="14"/>
      </w:pPr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Qualifications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4"/>
          <w:w w:val="132"/>
          <w:sz w:val="14"/>
          <w:szCs w:val="14"/>
        </w:rPr>
        <w:t xml:space="preserve">for</w:t>
      </w: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 a</w:t>
      </w:r>
      <w:r>
        <w:rPr>
          <w:rFonts w:ascii="Times New Roman" w:hAnsi="Times New Roman" w:cs="Times New Roman"/>
          <w:color w:val="000000"/>
          <w:spacing w:val="4"/>
          <w:w w:val="132"/>
          <w:sz w:val="24"/>
          <w:szCs w:val="24"/>
          <w:vertAlign w:val="superscript"/>
        </w:rPr>
        <w:t xml:space="preserve">ppointment as a judge of the high court are that </w:t>
      </w:r>
      <w:r>
        <w:rPr>
          <w:rFonts w:ascii="Times New Roman" w:hAnsi="Times New Roman" w:cs="Times New Roman"/>
          <w:color w:val="000000"/>
          <w:spacing w:val="4"/>
          <w:w w:val="132"/>
          <w:sz w:val="24"/>
          <w:szCs w:val="24"/>
          <w:vertAlign w:val="superscript"/>
        </w:rPr>
        <w:t xml:space="preserve">—</w:t>
      </w:r>
    </w:p>
    <w:p>
      <w:pPr>
        <w:tabs>
          <w:tab w:val="left" w:pos="2923"/>
        </w:tabs>
        <w:spacing w:before="17" w:after="0" w:line="184" w:lineRule="exact"/>
        <w:ind w:left="676" w:firstLine="0"/>
      </w:pPr>
      <w:r>
        <w:rPr>
          <w:rFonts w:ascii="Times New Roman" w:hAnsi="Times New Roman" w:cs="Times New Roman"/>
          <w:color w:val="000000"/>
          <w:spacing w:val="1"/>
          <w:w w:val="127"/>
          <w:sz w:val="14"/>
          <w:szCs w:val="14"/>
        </w:rPr>
        <w:t xml:space="preserve">Appointment as High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(a) he must be a citizen of India, not being over 62 years;</w:t>
      </w:r>
    </w:p>
    <w:p>
      <w:pPr>
        <w:tabs>
          <w:tab w:val="left" w:pos="2534"/>
        </w:tabs>
        <w:spacing w:before="1" w:after="0" w:line="181" w:lineRule="exact"/>
        <w:ind w:left="676" w:firstLine="14"/>
      </w:pP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Court Judge.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and must have</w:t>
      </w:r>
    </w:p>
    <w:p>
      <w:pPr>
        <w:tabs>
          <w:tab w:val="left" w:pos="1372"/>
        </w:tabs>
        <w:spacing w:before="124" w:after="0" w:line="184" w:lineRule="exact"/>
        <w:ind w:left="1031"/>
      </w:pP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(b)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(i) held for at least 10 years a judicial office in the territory of India; or</w:t>
      </w:r>
    </w:p>
    <w:p>
      <w:pPr>
        <w:spacing w:before="103" w:after="0" w:line="200" w:lineRule="exact"/>
        <w:ind w:left="648" w:right="1761" w:firstLine="379"/>
        <w:jc w:val="both"/>
      </w:pP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(ii) been for at least 10 years an advocate of a high court or of two or more such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courts in succession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217(2)].</w:t>
      </w:r>
    </w:p>
    <w:p>
      <w:pPr>
        <w:spacing w:before="114" w:after="0" w:line="184" w:lineRule="exact"/>
        <w:ind w:left="993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As in the case of the judges of the Supreme Court, the Constitution seeks to</w:t>
      </w:r>
    </w:p>
    <w:p>
      <w:pPr>
        <w:tabs>
          <w:tab w:val="left" w:pos="2524"/>
        </w:tabs>
        <w:spacing w:before="27" w:after="0" w:line="195" w:lineRule="exact"/>
        <w:ind w:left="657" w:firstLine="19"/>
      </w:pPr>
      <w:r>
        <w:rPr>
          <w:rFonts w:ascii="Times New Roman" w:hAnsi="Times New Roman" w:cs="Times New Roman"/>
          <w:color w:val="000000"/>
          <w:spacing w:val="3"/>
          <w:w w:val="131"/>
          <w:sz w:val="14"/>
          <w:szCs w:val="14"/>
        </w:rPr>
        <w:t xml:space="preserve">Independence of the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maintain the independence of the judges of the high courts</w:t>
      </w:r>
    </w:p>
    <w:p>
      <w:pPr>
        <w:tabs>
          <w:tab w:val="left" w:pos="2524"/>
        </w:tabs>
        <w:spacing w:before="39" w:after="0" w:line="184" w:lineRule="exact"/>
        <w:ind w:left="657" w:firstLine="0"/>
      </w:pP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Judges.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by a number of provisions:</w:t>
      </w:r>
    </w:p>
    <w:p>
      <w:pPr>
        <w:spacing w:before="59" w:after="0" w:line="200" w:lineRule="exact"/>
        <w:ind w:left="638" w:right="1767" w:firstLine="383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(a) By laying down that a judge of the high court shall not be removed, except in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the manner provided for the removal of a judge of the Supreme Court, that is, upon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an address of each House of Parliament (passed by a special majority </w:t>
      </w:r>
      <w:r>
        <w:rPr>
          <w:rFonts w:ascii="Times New Roman" w:hAnsi="Times New Roman" w:cs="Times New Roman"/>
          <w:i/>
          <w:color w:val="000000"/>
          <w:spacing w:val="0"/>
          <w:w w:val="128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218];</w:t>
      </w:r>
    </w:p>
    <w:p>
      <w:pPr>
        <w:spacing w:before="64" w:after="0" w:line="220" w:lineRule="exact"/>
        <w:ind w:left="643" w:right="1747" w:firstLine="379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(b) By providing that the expenditure in respect of the salaries and allowances of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the judges shall be charged on the Consolidated Fund of the State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[Article202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(3) (d) ];</w:t>
      </w:r>
    </w:p>
    <w:p>
      <w:pPr>
        <w:spacing w:before="72" w:after="0" w:line="206" w:lineRule="exact"/>
        <w:ind w:left="628" w:right="1752" w:firstLine="388"/>
        <w:jc w:val="both"/>
      </w:pPr>
      <w:r>
        <w:rPr>
          <w:rFonts w:ascii="Times New Roman" w:hAnsi="Times New Roman" w:cs="Times New Roman"/>
          <w:color w:val="000000"/>
          <w:spacing w:val="3"/>
          <w:w w:val="133"/>
          <w:sz w:val="16"/>
          <w:szCs w:val="16"/>
        </w:rPr>
        <w:t xml:space="preserve">(c) By specifying in the Constitution the salaries payable to the judges and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providing that the allowances of a judge or his rights in respect of absence or pension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shall not be varied by Parliament to his disadvantage after his appointment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221], except under a Proclamation of Financial Emergency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360 (4) (b) ];</w:t>
      </w:r>
    </w:p>
    <w:p>
      <w:pPr>
        <w:spacing w:before="74" w:after="0" w:line="206" w:lineRule="exact"/>
        <w:ind w:left="628" w:right="1777" w:firstLine="383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(d) By laying down that after retirement a permanent judge of high court shall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not plead or act in a court or before any authority in India, except the Supreme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Court and a high court other than the high court in which he had held his office </w:t>
      </w:r>
      <w:r>
        <w:rPr>
          <w:rFonts w:ascii="Times New Roman" w:hAnsi="Times New Roman" w:cs="Times New Roman"/>
          <w:i/>
          <w:color w:val="000000"/>
          <w:spacing w:val="0"/>
          <w:w w:val="119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220].</w:t>
      </w:r>
    </w:p>
    <w:p>
      <w:pPr>
        <w:spacing w:before="63" w:after="0" w:line="220" w:lineRule="exact"/>
        <w:ind w:left="624" w:right="1780" w:firstLine="355"/>
        <w:jc w:val="both"/>
      </w:pP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As Sir Alladi Krishnaswami explained in the Constituent Assembly,' while </w:t>
      </w: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ensuring the independence of the Judiciary, the Constitution placed the high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spacing w:before="82" w:after="0" w:line="191" w:lineRule="exact"/>
        <w:ind w:left="662" w:right="21" w:firstLine="4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4"/>
          <w:szCs w:val="14"/>
        </w:rPr>
        <w:t xml:space="preserve">Control of the Union </w:t>
      </w:r>
      <w:br/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over High Courts.</w:t>
      </w:r>
    </w:p>
    <w:p>
      <w:pPr>
        <w:spacing w:before="7" w:after="0" w:line="201" w:lineRule="exact"/>
        <w:ind w:left="10" w:right="1685" w:firstLine="4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br w:type="column"/>
        <w:t xml:space="preserve">courts under the control of the Union in certain important </w:t>
      </w:r>
      <w:br/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matters,  in  order  to  keep  them  outside  the  range  of </w:t>
      </w:r>
      <w:br/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"provincial  politics".  Thus,  even  though  the  high  court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335" w:space="170" w:equalWidth="0"/>
            <w:col w:w="7125" w:space="170" w:equalWidth="0"/>
          </w:cols>
        </w:sectPr>
      </w:pPr>
    </w:p>
    <w:p>
      <w:pPr>
        <w:spacing w:before="1" w:after="0" w:line="206" w:lineRule="exact"/>
        <w:ind w:left="619" w:right="1786"/>
        <w:jc w:val="both"/>
      </w:pPr>
      <w:r>
        <w:rPr>
          <w:rFonts w:ascii="Times New Roman" w:hAnsi="Times New Roman" w:cs="Times New Roman"/>
          <w:color w:val="000000"/>
          <w:spacing w:val="3"/>
          <w:w w:val="133"/>
          <w:sz w:val="16"/>
          <w:szCs w:val="16"/>
        </w:rPr>
        <w:t xml:space="preserve">stands at the head of the State Judiciary, it is not so sharply separated from the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federal Government as the highest court of an American State (called the State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Supreme Court) is. The control of the Union over a high court in India is exercised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in the following matters:</w:t>
      </w:r>
    </w:p>
    <w:p>
      <w:pPr>
        <w:tabs>
          <w:tab w:val="left" w:pos="2683"/>
          <w:tab w:val="left" w:pos="3374"/>
        </w:tabs>
        <w:spacing w:before="71" w:after="0" w:line="210" w:lineRule="exact"/>
        <w:ind w:left="619" w:right="1785" w:firstLine="384"/>
        <w:jc w:val="both"/>
      </w:pP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(a)  Appointment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15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217],  transfer' from one high court to another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222] and removal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217(1),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Proviso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(b) ] , and determination of dispute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as to age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217(3) ], of judges of high courts.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