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tabs>
          <w:tab w:val="left" w:pos="2251"/>
          <w:tab w:val="left" w:pos="7459"/>
        </w:tabs>
        <w:spacing w:before="201" w:after="0" w:line="207" w:lineRule="exact"/>
        <w:ind w:left="1075" w:firstLine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320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23</w:t>
      </w:r>
    </w:p>
    <w:p>
      <w:pPr>
        <w:spacing w:before="0" w:after="0" w:line="210" w:lineRule="exact"/>
        <w:ind w:left="1065"/>
        <w:rPr>
          <w:sz w:val="24"/>
          <w:szCs w:val="24"/>
        </w:rPr>
      </w:pPr>
    </w:p>
    <w:p>
      <w:pPr>
        <w:spacing w:before="68" w:after="0" w:line="210" w:lineRule="exact"/>
        <w:ind w:left="1065" w:right="1339" w:firstLine="384"/>
        <w:jc w:val="both"/>
      </w:pPr>
      <w:r>
        <w:rPr>
          <w:rFonts w:ascii="Times New Roman" w:hAnsi="Times New Roman" w:cs="Times New Roman"/>
          <w:i/>
          <w:color w:val="000000"/>
          <w:spacing w:val="4"/>
          <w:w w:val="132"/>
          <w:sz w:val="16"/>
          <w:szCs w:val="16"/>
        </w:rPr>
        <w:t xml:space="preserve">Transfer.—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Now the power to transfer of the high court judges remains no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more a method of control over the high court by the Union Government as the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Supreme Court has prescribed a procedure for the purpose in a Reference' made</w:t>
      </w:r>
    </w:p>
    <w:p>
      <w:pPr>
        <w:spacing w:before="0" w:after="0" w:line="210" w:lineRule="exact"/>
        <w:ind w:left="1031" w:right="1321" w:firstLine="33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by the President of India in exercise of his powers under Article 143. The Supreme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Court opined that the Chief Justice of India should obtain the views of the Chief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Justice of the high court from which the proposed transfer is to be effected as also</w:t>
      </w:r>
    </w:p>
    <w:p>
      <w:pPr>
        <w:spacing w:before="0" w:after="0" w:line="205" w:lineRule="exact"/>
        <w:ind w:left="1051" w:right="1325" w:firstLine="1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that of the Chief Justice of the high court to which the transfer is to be effected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(as was stated in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Second Judges case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 1993). The Chief Justice of India should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also take into account the views of one or more Supreme Court judges who are in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position to provide material which would assist in the process of deciding whether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or not a proposed transfer should take place. These views should be expressed in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writing and should be considered by CJI and the four senior most puisne judges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Supreme Court. These views and those of each of the four senior most judges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should be conveyed to the Government of India with the proposal of transfer.</w:t>
      </w:r>
    </w:p>
    <w:p>
      <w:pPr>
        <w:spacing w:before="65" w:after="0" w:line="200" w:lineRule="exact"/>
        <w:ind w:left="1051" w:right="1339" w:firstLine="359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What applies to the transfer of puisne judges of a high court applies as well to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transfer of the ChiefJustice of a high court as a CJ of another high court except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that in this case, only the views of one or more knowledgeable judges need be taken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into account.</w:t>
      </w:r>
    </w:p>
    <w:p>
      <w:pPr>
        <w:spacing w:before="92" w:after="0" w:line="210" w:lineRule="exact"/>
        <w:ind w:left="1012" w:right="1354" w:firstLine="398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These factors, including the response of the high court ChiefJustice or the puisne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judge proposed to be transferred, to the proposal to transfer him, should be placed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before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8"/>
          <w:szCs w:val="18"/>
        </w:rPr>
        <w:t xml:space="preserve">collegium —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CJI and his first four puisne judges — to be taken into</w:t>
      </w:r>
    </w:p>
    <w:p>
      <w:pPr>
        <w:spacing w:before="12" w:after="0" w:line="184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account by it before reaching a final conclusion on the proposal.</w:t>
      </w:r>
    </w:p>
    <w:p>
      <w:pPr>
        <w:spacing w:before="78" w:after="0" w:line="206" w:lineRule="exact"/>
        <w:ind w:left="1046" w:right="1354" w:firstLine="427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(b) The constitution and organisation of high courts and the power to establish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 common high court for two or more States and to extend the jurisdiction of a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high court to, or to exclude its jurisdiction from, a Union Territory, are all exclusive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powers of the Union Parliament.</w:t>
      </w:r>
    </w:p>
    <w:p>
      <w:pPr>
        <w:spacing w:before="71" w:after="0" w:line="210" w:lineRule="exact"/>
        <w:ind w:left="1041" w:right="1354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It should be pointed out in the present context that there are some provisions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introduced into the original Constitution by subsequent amendments, which affect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independence of high court judges, as compared with Supreme Court judges:</w:t>
      </w:r>
    </w:p>
    <w:p>
      <w:pPr>
        <w:tabs>
          <w:tab w:val="left" w:pos="2452"/>
          <w:tab w:val="left" w:pos="6072"/>
        </w:tabs>
        <w:spacing w:before="75" w:after="0" w:line="205" w:lineRule="exact"/>
        <w:ind w:left="1022" w:right="1344" w:firstLine="403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(a) 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224 was introduced by substitution, in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1956, to provide for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appointment of additional judges to meet "any temporary increase in the business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of a high court". An additional judge, so appointed, holds office for two years, but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he may be made permanent at the end of that term. There is no such corresponding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provision for the Supreme Court. It was introduced in the case of the high courts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because of the problem of arrears of work, which was expected to disappear in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near future. Now that the problem of arrears has become a standing problem which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is being met by the addition of more judges, there is no particular reason why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make-shift device of additional appointment should continue. The inherent vice of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this latter device is that it keeps an additional judge on probation and under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tutelage of the Chief Justice as well as the Government' as to whether he would get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 permanent appointment at the end of two years. So far as the judicial power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 </w:t>
      </w:r>
      <w:r>
        <w:rPr>
          <w:rFonts w:ascii="Times New Roman" w:hAnsi="Times New Roman" w:cs="Times New Roman"/>
          <w:color w:val="000000"/>
          <w:spacing w:val="2"/>
          <w:w w:val="130"/>
          <w:sz w:val="18"/>
          <w:szCs w:val="18"/>
        </w:rPr>
        <w:t xml:space="preserve">high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court judge is concerned, he ranks as an equal to every other member of a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Bench and is not expected, according to any principle relating to the administration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justice, to "agree" with the Chief Justice or any other senior member of a Bench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where his learning, conscience or wisdom dictates otherwise, or to stay his hands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where the merits of a case require a judgment against the Government. The fear of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losing his job on the expiry of two years obviously acts as an inarticulate obsession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upon an additional judge.</w:t>
      </w:r>
    </w:p>
    <w:p>
      <w:pPr>
        <w:spacing w:before="71" w:after="0" w:line="210" w:lineRule="exact"/>
        <w:ind w:left="988" w:right="1354" w:firstLine="427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(b) Similarly, clause (3) was inserted in Article 217 in 1963, giving the President,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in consultation with the CJI, the final power to determine the age of high court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judge, if any question is raised by any-body in that behalf. By the same amendment of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