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1094"/>
        <w:rPr>
          <w:sz w:val="24"/>
          <w:szCs w:val="24"/>
        </w:rPr>
      </w:pPr>
    </w:p>
    <w:p>
      <w:pPr>
        <w:tabs>
          <w:tab w:val="left" w:pos="2275"/>
          <w:tab w:val="left" w:pos="7478"/>
        </w:tabs>
        <w:spacing w:before="123" w:after="0" w:line="184" w:lineRule="exact"/>
        <w:ind w:left="1094" w:firstLine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322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23</w:t>
      </w:r>
    </w:p>
    <w:p>
      <w:pPr>
        <w:spacing w:before="0" w:after="0" w:line="205" w:lineRule="exact"/>
        <w:ind w:left="1089"/>
        <w:rPr>
          <w:sz w:val="24"/>
          <w:szCs w:val="24"/>
        </w:rPr>
      </w:pPr>
    </w:p>
    <w:p>
      <w:pPr>
        <w:spacing w:before="74" w:after="0" w:line="205" w:lineRule="exact"/>
        <w:ind w:left="1089" w:right="1315" w:firstLine="38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(ii) When any court subordinate to the high court (i.e. the District Judge or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Subordinate Judge) decides an appeal from the decision of an inferior court, a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second appeal lies to the high court from the decision of the lower appellate court,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but only on question of law and procedure, as distinguished from questions of fact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6"/>
          <w:szCs w:val="16"/>
        </w:rPr>
        <w:t xml:space="preserve">[Section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100, CPC].</w:t>
      </w:r>
    </w:p>
    <w:p>
      <w:pPr>
        <w:spacing w:before="71" w:after="0" w:line="210" w:lineRule="exact"/>
        <w:ind w:left="1080" w:right="1320" w:firstLine="393"/>
        <w:jc w:val="both"/>
      </w:pPr>
      <w:r>
        <w:rPr>
          <w:rFonts w:ascii="Times New Roman" w:hAnsi="Times New Roman" w:cs="Times New Roman"/>
          <w:color w:val="000000"/>
          <w:spacing w:val="3"/>
          <w:w w:val="133"/>
          <w:sz w:val="16"/>
          <w:szCs w:val="16"/>
        </w:rPr>
        <w:t xml:space="preserve">(iii) Besides, there is a provision for appeal under the Letters Patent of the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Allahabad, Bombay, Calcutta, Madras and Patna High Courts. These appeals lie to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appellate side of the high court from the decision of a single judge of the high</w:t>
      </w:r>
    </w:p>
    <w:p>
      <w:pPr>
        <w:spacing w:before="0" w:after="0" w:line="200" w:lineRule="exact"/>
        <w:ind w:left="1046" w:right="1325" w:firstLine="43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court itself, whether made by such judge in the exercise of the original or appellate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jurisdiction of the high court.</w:t>
      </w:r>
    </w:p>
    <w:p>
      <w:pPr>
        <w:spacing w:before="116" w:after="0" w:line="180" w:lineRule="exact"/>
        <w:ind w:left="1084" w:right="1335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(II) The criminal appellate jurisdiction of the high court is not less complicated.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It consists of appeals from the decisions of —</w:t>
      </w:r>
    </w:p>
    <w:p>
      <w:pPr>
        <w:spacing w:before="104" w:after="0" w:line="200" w:lineRule="exact"/>
        <w:ind w:left="1080" w:right="1305" w:firstLine="388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(a) A Sessions Judge or an Additional Sessions Judge, where the sentence is of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imprisonment exceeding seven years;</w:t>
      </w:r>
    </w:p>
    <w:p>
      <w:pPr>
        <w:spacing w:before="80" w:after="0" w:line="200" w:lineRule="exact"/>
        <w:ind w:left="1080" w:right="1329" w:firstLine="388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(b) An Assistant Sessions Judge, Metropolitan Magistrate or other Judicial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Magistrates in certain specified cases other than "petty" cases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6"/>
          <w:szCs w:val="16"/>
        </w:rPr>
        <w:t xml:space="preserve">[Sections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374,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376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CrPC, 1973]</w:t>
      </w:r>
    </w:p>
    <w:p>
      <w:pPr>
        <w:tabs>
          <w:tab w:val="left" w:pos="2961"/>
        </w:tabs>
        <w:spacing w:before="92" w:after="0" w:line="210" w:lineRule="exact"/>
        <w:ind w:left="1084" w:right="1325" w:firstLine="355"/>
        <w:jc w:val="left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Every high court has a power of superintendence over all courts and tribunals </w:t>
      </w:r>
      <w:r>
        <w:rPr>
          <w:rFonts w:ascii="Times New Roman" w:hAnsi="Times New Roman" w:cs="Times New Roman"/>
          <w:color w:val="000000"/>
          <w:spacing w:val="3"/>
          <w:w w:val="133"/>
          <w:sz w:val="16"/>
          <w:szCs w:val="16"/>
        </w:rPr>
        <w:t xml:space="preserve">throughout the territory in relation to which it exercises jurisdiction, excepting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military tribunals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227] .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This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power of superintendence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49" w:lineRule="exact"/>
        <w:ind w:left="1113" w:right="21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6"/>
          <w:sz w:val="14"/>
          <w:szCs w:val="14"/>
        </w:rPr>
        <w:t xml:space="preserve">High  Court's Power </w:t>
      </w:r>
      <w:br/>
      <w:r>
        <w:rPr>
          <w:rFonts w:ascii="Times New Roman" w:hAnsi="Times New Roman" w:cs="Times New Roman"/>
          <w:b/>
          <w:color w:val="000000"/>
          <w:spacing w:val="0"/>
          <w:w w:val="123"/>
          <w:sz w:val="14"/>
          <w:szCs w:val="14"/>
        </w:rPr>
        <w:t xml:space="preserve">of superintendence.</w:t>
      </w:r>
    </w:p>
    <w:p>
      <w:pPr>
        <w:spacing w:before="10" w:after="0" w:line="201" w:lineRule="exact"/>
        <w:ind w:left="10" w:right="1263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br w:type="column"/>
        <w:t xml:space="preserve">is a very wide power inasmuch as it extends to all courts as well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as tribunals within the State, whether such court or tribunal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91" w:space="170" w:equalWidth="0"/>
            <w:col w:w="6669" w:space="170" w:equalWidth="0"/>
          </w:cols>
        </w:sectPr>
      </w:pPr>
    </w:p>
    <w:p>
      <w:pPr>
        <w:spacing w:before="3" w:after="0" w:line="205" w:lineRule="exact"/>
        <w:ind w:left="1036" w:right="1311" w:firstLine="38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is subject to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appellate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jurisdiction of the high court or not. Further, this power of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superintendence would include a revisional jurisdiction to intervene in cases of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gross injustice or non-exercise or abuse of jurisdiction or refusal to exercise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jurisdiction, or in case of an error of law apparent on the face of the record, or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violation of the principles of natural justice, or arbitrary or capricious exercise of</w:t>
      </w:r>
    </w:p>
    <w:p>
      <w:pPr>
        <w:spacing w:before="0" w:after="0" w:line="206" w:lineRule="exact"/>
        <w:ind w:left="1065" w:right="1335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authority, or discretion or arriving at a finding which is perverse or based on no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material, or a flagrant or patent error in procedure, even though no appeal or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revision against the orders of such tribunal was otherwise available. Judicial orders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of a civil court are not amenable to writ of </w:t>
      </w: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certiorari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under Article </w:t>
      </w:r>
      <w:r>
        <w:rPr>
          <w:rFonts w:ascii="Times New Roman" w:hAnsi="Times New Roman" w:cs="Times New Roman"/>
          <w:color w:val="000000"/>
          <w:spacing w:val="5"/>
          <w:w w:val="133"/>
          <w:sz w:val="16"/>
          <w:szCs w:val="16"/>
        </w:rPr>
        <w:t xml:space="preserve">226 of the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Constitution. The high court however can exercise supervisory jurisdiction over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civil courts in respect of such judicial orders. The scope of Article 227, however, is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different from Article 226.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Radhey Shyam v Chhabi Nath,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AIR 2015 SC 3269: (2015) 5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SCC 423.  The high court, in exercise of its power under Article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227 of the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Constitution, would not interfere with the orders of the trial court when the orders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of trial court were passed on sound consideration of law and facts and not arbitrary.</w:t>
      </w:r>
      <w:r>
        <w:rPr>
          <w:rFonts w:ascii="Times New Roman" w:hAnsi="Times New Roman" w:cs="Times New Roman"/>
          <w:color w:val="000000"/>
          <w:spacing w:val="0"/>
          <w:w w:val="127"/>
          <w:sz w:val="15"/>
          <w:szCs w:val="15"/>
          <w:vertAlign w:val="superscript"/>
        </w:rPr>
        <w:t xml:space="preserve">1</w:t>
      </w:r>
      <w:r>
        <w:rPr>
          <w:rFonts w:ascii="Times New Roman" w:hAnsi="Times New Roman" w:cs="Times New Roman"/>
          <w:color w:val="000000"/>
          <w:spacing w:val="0"/>
          <w:w w:val="127"/>
          <w:sz w:val="15"/>
          <w:szCs w:val="15"/>
          <w:vertAlign w:val="superscript"/>
        </w:rPr>
        <w:t xml:space="preserve">4</w:t>
      </w:r>
    </w:p>
    <w:p>
      <w:pPr>
        <w:spacing w:before="69" w:after="0" w:line="206" w:lineRule="exact"/>
        <w:ind w:left="1060" w:right="1340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power of superintendence conferred by Article 227 is supervisory and not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appellate. This power of judicial superintendence must be exercised sparingly, to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keep subordinate courts and tribunals within the limits of their authority. Jurisdiction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under Article 227 cannot be exercised in the cloak of an appeal in disguise.144</w:t>
      </w:r>
    </w:p>
    <w:p>
      <w:pPr>
        <w:spacing w:before="71" w:after="0" w:line="210" w:lineRule="exact"/>
        <w:ind w:left="1060" w:right="1344" w:firstLine="364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By reason of the extension of Governmental activities and the complicated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nature of issues to be dealt with by the administration, many modern statutes have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entrusted administrative bodies with the function of deciding disputes and quasi-</w:t>
      </w:r>
    </w:p>
    <w:p>
      <w:pPr>
        <w:tabs>
          <w:tab w:val="left" w:pos="2947"/>
        </w:tabs>
        <w:spacing w:before="47" w:after="0" w:line="190" w:lineRule="exact"/>
        <w:ind w:left="1075" w:right="1352"/>
        <w:jc w:val="left"/>
      </w:pP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Jurisdiction over Admi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-  judicial issues that arise in conne</w:t>
      </w:r>
      <w:r>
        <w:rPr>
          <w:rFonts w:ascii="Times New Roman" w:hAnsi="Times New Roman" w:cs="Times New Roman"/>
          <w:color w:val="000000"/>
          <w:spacing w:val="0"/>
          <w:w w:val="128"/>
          <w:sz w:val="24"/>
          <w:szCs w:val="24"/>
          <w:vertAlign w:val="superscript"/>
        </w:rPr>
        <w:t xml:space="preserve">ction with the administratio</w:t>
      </w:r>
      <w:r>
        <w:rPr>
          <w:rFonts w:ascii="Times New Roman" w:hAnsi="Times New Roman" w:cs="Times New Roman"/>
          <w:color w:val="000000"/>
          <w:spacing w:val="0"/>
          <w:w w:val="128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b/>
          <w:color w:val="000000"/>
          <w:spacing w:val="0"/>
          <w:w w:val="112"/>
          <w:sz w:val="14"/>
          <w:szCs w:val="14"/>
        </w:rPr>
        <w:t xml:space="preserve">nistrative Tribunals.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of such laws, either because the ordinary courts are already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overburdened to take up these new matters or the disputes</w:t>
      </w:r>
    </w:p>
    <w:p>
      <w:pPr>
        <w:spacing w:before="0" w:after="0" w:line="210" w:lineRule="exact"/>
        <w:ind w:left="1055" w:right="1359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are of such a technical nature that they can be decided only by persons who have an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intimate knowledge of the working of the Act under which it arises. Thus, in India,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quasi-judicial powers have been vested in administrative authorities such as the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