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</w:p>
    <w:p>
      <w:pPr>
        <w:spacing w:before="0" w:after="0" w:line="207" w:lineRule="exact"/>
        <w:ind w:left="1027"/>
        <w:rPr>
          <w:sz w:val="24"/>
          <w:szCs w:val="24"/>
        </w:rPr>
      </w:pPr>
    </w:p>
    <w:p>
      <w:pPr>
        <w:tabs>
          <w:tab w:val="left" w:pos="2198"/>
          <w:tab w:val="left" w:pos="7401"/>
        </w:tabs>
        <w:spacing w:before="71" w:after="0" w:line="207" w:lineRule="exact"/>
        <w:ind w:left="1027" w:firstLine="0"/>
      </w:pPr>
      <w:r>
        <w:rPr>
          <w:rFonts w:ascii="Times New Roman" w:hAnsi="Times New Roman" w:cs="Times New Roman"/>
          <w:color w:val="000000"/>
          <w:spacing w:val="0"/>
          <w:w w:val="100"/>
          <w:sz w:val="18"/>
          <w:szCs w:val="18"/>
        </w:rPr>
        <w:t xml:space="preserve">324</w:t>
      </w:r>
      <w:r>
        <w:rPr>
          <w:rFonts w:ascii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hAnsi="Times New Roman" w:cs="Times New Roman"/>
          <w:color w:val="000000"/>
          <w:spacing w:val="0"/>
          <w:w w:val="100"/>
          <w:sz w:val="18"/>
          <w:szCs w:val="18"/>
        </w:rPr>
        <w:t xml:space="preserve">INTRODUCTION TO THE CONSTITUTION OF INDIA</w:t>
      </w:r>
      <w:r>
        <w:rPr>
          <w:rFonts w:ascii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hAnsi="Times New Roman" w:cs="Times New Roman"/>
          <w:color w:val="000000"/>
          <w:spacing w:val="0"/>
          <w:w w:val="100"/>
          <w:sz w:val="18"/>
          <w:szCs w:val="18"/>
        </w:rPr>
        <w:t xml:space="preserve">[CHAP. 23</w:t>
      </w:r>
    </w:p>
    <w:p>
      <w:pPr>
        <w:spacing w:before="0" w:after="0" w:line="206" w:lineRule="exact"/>
        <w:ind w:left="1012"/>
        <w:rPr>
          <w:sz w:val="24"/>
          <w:szCs w:val="24"/>
        </w:rPr>
      </w:pPr>
    </w:p>
    <w:p>
      <w:pPr>
        <w:spacing w:before="58" w:after="0" w:line="206" w:lineRule="exact"/>
        <w:ind w:left="1012" w:right="1378" w:firstLine="4"/>
        <w:jc w:val="both"/>
      </w:pPr>
      <w:r>
        <w:rPr>
          <w:rFonts w:ascii="Times New Roman" w:hAnsi="Times New Roman" w:cs="Times New Roman"/>
          <w:color w:val="000000"/>
          <w:spacing w:val="5"/>
          <w:w w:val="135"/>
          <w:sz w:val="16"/>
          <w:szCs w:val="16"/>
        </w:rPr>
        <w:t xml:space="preserve">under these Articles is larger in the case of high court inasmuch as while the </w:t>
      </w:r>
      <w:r>
        <w:rPr>
          <w:rFonts w:ascii="Times New Roman" w:hAnsi="Times New Roman" w:cs="Times New Roman"/>
          <w:color w:val="000000"/>
          <w:spacing w:val="2"/>
          <w:w w:val="129"/>
          <w:sz w:val="16"/>
          <w:szCs w:val="16"/>
        </w:rPr>
        <w:t xml:space="preserve">Supreme Court can issue them only where a fundamental right has been infringed, </w:t>
      </w:r>
      <w:r>
        <w:rPr>
          <w:rFonts w:ascii="Times New Roman" w:hAnsi="Times New Roman" w:cs="Times New Roman"/>
          <w:color w:val="000000"/>
          <w:spacing w:val="1"/>
          <w:w w:val="129"/>
          <w:sz w:val="16"/>
          <w:szCs w:val="16"/>
        </w:rPr>
        <w:t xml:space="preserve">a high court can issue them not only in such cases but also where an ordinary legal </w:t>
      </w:r>
      <w:r>
        <w:rPr>
          <w:rFonts w:ascii="Times New Roman" w:hAnsi="Times New Roman" w:cs="Times New Roman"/>
          <w:color w:val="000000"/>
          <w:spacing w:val="0"/>
          <w:w w:val="128"/>
          <w:sz w:val="16"/>
          <w:szCs w:val="16"/>
        </w:rPr>
        <w:t xml:space="preserve">right has been infringed, provided a writ is a proper remedy in such cases, according </w:t>
      </w:r>
      <w:r>
        <w:rPr>
          <w:rFonts w:ascii="Times New Roman" w:hAnsi="Times New Roman" w:cs="Times New Roman"/>
          <w:color w:val="000000"/>
          <w:spacing w:val="1"/>
          <w:w w:val="128"/>
          <w:sz w:val="16"/>
          <w:szCs w:val="16"/>
        </w:rPr>
        <w:t xml:space="preserve">to well-established principles. The petitioner should come to the court at the earliest </w:t>
      </w:r>
      <w:r>
        <w:rPr>
          <w:rFonts w:ascii="Times New Roman" w:hAnsi="Times New Roman" w:cs="Times New Roman"/>
          <w:color w:val="000000"/>
          <w:spacing w:val="2"/>
          <w:w w:val="130"/>
          <w:sz w:val="16"/>
          <w:szCs w:val="16"/>
        </w:rPr>
        <w:t xml:space="preserve">reasonable possible opportunity. Inordinate delay in making the motion for a writ </w:t>
      </w:r>
      <w:r>
        <w:rPr>
          <w:rFonts w:ascii="Times New Roman" w:hAnsi="Times New Roman" w:cs="Times New Roman"/>
          <w:color w:val="000000"/>
          <w:spacing w:val="0"/>
          <w:w w:val="126"/>
          <w:sz w:val="16"/>
          <w:szCs w:val="16"/>
        </w:rPr>
        <w:t xml:space="preserve">will indeed be a good ground for refusing to exercise such discretionaryjurisdiction16. </w:t>
      </w:r>
      <w:r>
        <w:rPr>
          <w:rFonts w:ascii="Times New Roman" w:hAnsi="Times New Roman" w:cs="Times New Roman"/>
          <w:color w:val="000000"/>
          <w:spacing w:val="3"/>
          <w:w w:val="132"/>
          <w:sz w:val="16"/>
          <w:szCs w:val="16"/>
        </w:rPr>
        <w:t xml:space="preserve">The extraordinary power must be exercised, sparingly, cautiously and in excep-</w:t>
      </w:r>
      <w:br/>
      <w:r>
        <w:rPr>
          <w:rFonts w:ascii="Times New Roman" w:hAnsi="Times New Roman" w:cs="Times New Roman"/>
          <w:color w:val="000000"/>
          <w:spacing w:val="4"/>
          <w:w w:val="134"/>
          <w:sz w:val="16"/>
          <w:szCs w:val="16"/>
        </w:rPr>
        <w:t xml:space="preserve">tional situations where it becomes necessary to provide credibility and install </w:t>
      </w:r>
      <w:r>
        <w:rPr>
          <w:rFonts w:ascii="Times New Roman" w:hAnsi="Times New Roman" w:cs="Times New Roman"/>
          <w:color w:val="000000"/>
          <w:spacing w:val="3"/>
          <w:w w:val="131"/>
          <w:sz w:val="16"/>
          <w:szCs w:val="16"/>
        </w:rPr>
        <w:t xml:space="preserve">confidence in investigations or where such an order may be necessary for doing </w:t>
      </w:r>
      <w:r>
        <w:rPr>
          <w:rFonts w:ascii="Times New Roman" w:hAnsi="Times New Roman" w:cs="Times New Roman"/>
          <w:color w:val="000000"/>
          <w:spacing w:val="1"/>
          <w:w w:val="129"/>
          <w:sz w:val="16"/>
          <w:szCs w:val="16"/>
        </w:rPr>
        <w:t xml:space="preserve">complete justice and enforcing the fundamental rights.17 In </w:t>
      </w:r>
      <w:r>
        <w:rPr>
          <w:rFonts w:ascii="Times New Roman" w:hAnsi="Times New Roman" w:cs="Times New Roman"/>
          <w:i/>
          <w:color w:val="000000"/>
          <w:spacing w:val="1"/>
          <w:w w:val="129"/>
          <w:sz w:val="16"/>
          <w:szCs w:val="16"/>
        </w:rPr>
        <w:t xml:space="preserve">UO/ </w:t>
      </w:r>
      <w:r>
        <w:rPr>
          <w:rFonts w:ascii="Times New Roman" w:hAnsi="Times New Roman" w:cs="Times New Roman"/>
          <w:color w:val="000000"/>
          <w:spacing w:val="1"/>
          <w:w w:val="129"/>
          <w:sz w:val="16"/>
          <w:szCs w:val="16"/>
        </w:rPr>
        <w:t xml:space="preserve">v </w:t>
      </w:r>
      <w:r>
        <w:rPr>
          <w:rFonts w:ascii="Times New Roman" w:hAnsi="Times New Roman" w:cs="Times New Roman"/>
          <w:i/>
          <w:color w:val="000000"/>
          <w:spacing w:val="1"/>
          <w:w w:val="129"/>
          <w:sz w:val="16"/>
          <w:szCs w:val="16"/>
        </w:rPr>
        <w:t xml:space="preserve">Rajasthan High </w:t>
      </w:r>
      <w:r>
        <w:rPr>
          <w:rFonts w:ascii="Times New Roman" w:hAnsi="Times New Roman" w:cs="Times New Roman"/>
          <w:i/>
          <w:color w:val="000000"/>
          <w:spacing w:val="0"/>
          <w:w w:val="125"/>
          <w:sz w:val="16"/>
          <w:szCs w:val="16"/>
        </w:rPr>
        <w:t xml:space="preserve">Court, </w:t>
      </w:r>
      <w:r>
        <w:rPr>
          <w:rFonts w:ascii="Times New Roman" w:hAnsi="Times New Roman" w:cs="Times New Roman"/>
          <w:color w:val="000000"/>
          <w:spacing w:val="0"/>
          <w:w w:val="125"/>
          <w:sz w:val="16"/>
          <w:szCs w:val="16"/>
        </w:rPr>
        <w:t xml:space="preserve">AIR 2017 SC 101: (2017) 2 SCC 599 the Division Bench of the Rajasthan High </w:t>
      </w:r>
      <w:r>
        <w:rPr>
          <w:rFonts w:ascii="Times New Roman" w:hAnsi="Times New Roman" w:cs="Times New Roman"/>
          <w:color w:val="000000"/>
          <w:spacing w:val="0"/>
          <w:w w:val="127"/>
          <w:sz w:val="16"/>
          <w:szCs w:val="16"/>
        </w:rPr>
        <w:t xml:space="preserve">Court in exercise of its </w:t>
      </w:r>
      <w:r>
        <w:rPr>
          <w:rFonts w:ascii="Times New Roman" w:hAnsi="Times New Roman" w:cs="Times New Roman"/>
          <w:i/>
          <w:color w:val="000000"/>
          <w:spacing w:val="0"/>
          <w:w w:val="127"/>
          <w:sz w:val="16"/>
          <w:szCs w:val="16"/>
        </w:rPr>
        <w:t xml:space="preserve">suo moto </w:t>
      </w:r>
      <w:r>
        <w:rPr>
          <w:rFonts w:ascii="Times New Roman" w:hAnsi="Times New Roman" w:cs="Times New Roman"/>
          <w:color w:val="000000"/>
          <w:spacing w:val="0"/>
          <w:w w:val="127"/>
          <w:sz w:val="16"/>
          <w:szCs w:val="16"/>
        </w:rPr>
        <w:t xml:space="preserve">powers under Article 226 of the Constitution issued </w:t>
      </w:r>
      <w:r>
        <w:rPr>
          <w:rFonts w:ascii="Times New Roman" w:hAnsi="Times New Roman" w:cs="Times New Roman"/>
          <w:color w:val="000000"/>
          <w:spacing w:val="2"/>
          <w:w w:val="129"/>
          <w:sz w:val="16"/>
          <w:szCs w:val="16"/>
        </w:rPr>
        <w:t xml:space="preserve">a direction to the Union Government to include the Chief Justice and the judges of </w:t>
      </w:r>
      <w:r>
        <w:rPr>
          <w:rFonts w:ascii="Times New Roman" w:hAnsi="Times New Roman" w:cs="Times New Roman"/>
          <w:color w:val="000000"/>
          <w:spacing w:val="5"/>
          <w:w w:val="135"/>
          <w:sz w:val="16"/>
          <w:szCs w:val="16"/>
        </w:rPr>
        <w:t xml:space="preserve">the high court in the list of persons exempted from pre-embarkation security </w:t>
      </w:r>
      <w:r>
        <w:rPr>
          <w:rFonts w:ascii="Times New Roman" w:hAnsi="Times New Roman" w:cs="Times New Roman"/>
          <w:color w:val="000000"/>
          <w:spacing w:val="1"/>
          <w:w w:val="128"/>
          <w:sz w:val="16"/>
          <w:szCs w:val="16"/>
        </w:rPr>
        <w:t xml:space="preserve">checks. Setting aside the judgment of the Rajasthan High Court, the Supreme Court </w:t>
      </w:r>
      <w:r>
        <w:rPr>
          <w:rFonts w:ascii="Times New Roman" w:hAnsi="Times New Roman" w:cs="Times New Roman"/>
          <w:color w:val="000000"/>
          <w:spacing w:val="0"/>
          <w:w w:val="127"/>
          <w:sz w:val="16"/>
          <w:szCs w:val="16"/>
        </w:rPr>
        <w:t xml:space="preserve">held that a </w:t>
      </w:r>
      <w:r>
        <w:rPr>
          <w:rFonts w:ascii="Times New Roman" w:hAnsi="Times New Roman" w:cs="Times New Roman"/>
          <w:i/>
          <w:color w:val="000000"/>
          <w:spacing w:val="0"/>
          <w:w w:val="127"/>
          <w:sz w:val="16"/>
          <w:szCs w:val="16"/>
        </w:rPr>
        <w:t xml:space="preserve">suo moto </w:t>
      </w:r>
      <w:r>
        <w:rPr>
          <w:rFonts w:ascii="Times New Roman" w:hAnsi="Times New Roman" w:cs="Times New Roman"/>
          <w:color w:val="000000"/>
          <w:spacing w:val="0"/>
          <w:w w:val="127"/>
          <w:sz w:val="16"/>
          <w:szCs w:val="16"/>
        </w:rPr>
        <w:t xml:space="preserve">exercise of the nature embarked upon the high court encroaches </w:t>
      </w:r>
      <w:r>
        <w:rPr>
          <w:rFonts w:ascii="Times New Roman" w:hAnsi="Times New Roman" w:cs="Times New Roman"/>
          <w:color w:val="000000"/>
          <w:spacing w:val="1"/>
          <w:w w:val="129"/>
          <w:sz w:val="16"/>
          <w:szCs w:val="16"/>
        </w:rPr>
        <w:t xml:space="preserve">upon the domain of the Executive. The Supreme Court further held that the powers </w:t>
      </w:r>
      <w:r>
        <w:rPr>
          <w:rFonts w:ascii="Times New Roman" w:hAnsi="Times New Roman" w:cs="Times New Roman"/>
          <w:color w:val="000000"/>
          <w:spacing w:val="3"/>
          <w:w w:val="130"/>
          <w:sz w:val="16"/>
          <w:szCs w:val="16"/>
        </w:rPr>
        <w:t xml:space="preserve">under Article </w:t>
      </w:r>
      <w:r>
        <w:rPr>
          <w:rFonts w:ascii="Times New Roman" w:hAnsi="Times New Roman" w:cs="Times New Roman"/>
          <w:color w:val="000000"/>
          <w:spacing w:val="5"/>
          <w:w w:val="134"/>
          <w:sz w:val="16"/>
          <w:szCs w:val="16"/>
        </w:rPr>
        <w:t xml:space="preserve">226 are wide enough to reach out to injustice wherever it may </w:t>
      </w:r>
      <w:r>
        <w:rPr>
          <w:rFonts w:ascii="Times New Roman" w:hAnsi="Times New Roman" w:cs="Times New Roman"/>
          <w:color w:val="000000"/>
          <w:spacing w:val="1"/>
          <w:w w:val="129"/>
          <w:sz w:val="16"/>
          <w:szCs w:val="16"/>
        </w:rPr>
        <w:t xml:space="preserve">originate. But judges are expected to apply standards which are objective and well-</w:t>
      </w:r>
      <w:br/>
      <w:r>
        <w:rPr>
          <w:rFonts w:ascii="Times New Roman" w:hAnsi="Times New Roman" w:cs="Times New Roman"/>
          <w:color w:val="000000"/>
          <w:spacing w:val="1"/>
          <w:w w:val="128"/>
          <w:sz w:val="16"/>
          <w:szCs w:val="16"/>
        </w:rPr>
        <w:t xml:space="preserve">defined by law founded on constitutional principles. The judgment of the Rajasthan</w:t>
      </w:r>
    </w:p>
    <w:p>
      <w:pPr>
        <w:spacing w:before="1" w:after="0" w:line="198" w:lineRule="exact"/>
        <w:ind w:left="1012"/>
      </w:pPr>
      <w:r>
        <w:rPr>
          <w:rFonts w:ascii="Times New Roman" w:hAnsi="Times New Roman" w:cs="Times New Roman"/>
          <w:color w:val="000000"/>
          <w:spacing w:val="0"/>
          <w:w w:val="121"/>
          <w:sz w:val="18"/>
          <w:szCs w:val="18"/>
        </w:rPr>
        <w:t xml:space="preserve">High Court is an example of a matter where the court should not have entered.</w:t>
      </w:r>
    </w:p>
    <w:p>
      <w:pPr>
        <w:spacing w:before="75" w:after="0" w:line="207" w:lineRule="exact"/>
        <w:ind w:left="1008" w:right="1382" w:firstLine="364"/>
        <w:jc w:val="both"/>
      </w:pPr>
      <w:r>
        <w:rPr>
          <w:rFonts w:ascii="Times New Roman" w:hAnsi="Times New Roman" w:cs="Times New Roman"/>
          <w:i/>
          <w:b/>
          <w:color w:val="000000"/>
          <w:spacing w:val="0"/>
          <w:w w:val="127"/>
          <w:sz w:val="18"/>
          <w:szCs w:val="18"/>
        </w:rPr>
        <w:t xml:space="preserve">Public interest litigation.— </w:t>
      </w:r>
      <w:r>
        <w:rPr>
          <w:rFonts w:ascii="Times New Roman" w:hAnsi="Times New Roman" w:cs="Times New Roman"/>
          <w:color w:val="000000"/>
          <w:spacing w:val="0"/>
          <w:w w:val="127"/>
          <w:sz w:val="16"/>
          <w:szCs w:val="16"/>
        </w:rPr>
        <w:t xml:space="preserve">Following English and American decisions, our </w:t>
      </w:r>
      <w:r>
        <w:rPr>
          <w:rFonts w:ascii="Times New Roman" w:hAnsi="Times New Roman" w:cs="Times New Roman"/>
          <w:color w:val="000000"/>
          <w:spacing w:val="3"/>
          <w:w w:val="131"/>
          <w:sz w:val="16"/>
          <w:szCs w:val="16"/>
        </w:rPr>
        <w:t xml:space="preserve">Supreme Court has admitted exceptions from the strict rules relating to affidavit </w:t>
      </w:r>
      <w:r>
        <w:rPr>
          <w:rFonts w:ascii="Times New Roman" w:hAnsi="Times New Roman" w:cs="Times New Roman"/>
          <w:i/>
          <w:color w:val="000000"/>
          <w:spacing w:val="2"/>
          <w:w w:val="131"/>
          <w:sz w:val="16"/>
          <w:szCs w:val="16"/>
        </w:rPr>
        <w:t xml:space="preserve">locus standi </w:t>
      </w:r>
      <w:r>
        <w:rPr>
          <w:rFonts w:ascii="Times New Roman" w:hAnsi="Times New Roman" w:cs="Times New Roman"/>
          <w:color w:val="000000"/>
          <w:spacing w:val="2"/>
          <w:w w:val="131"/>
          <w:sz w:val="16"/>
          <w:szCs w:val="16"/>
        </w:rPr>
        <w:t xml:space="preserve">and the like in the case of a class of litigations, classified as "public </w:t>
      </w:r>
      <w:r>
        <w:rPr>
          <w:rFonts w:ascii="Times New Roman" w:hAnsi="Times New Roman" w:cs="Times New Roman"/>
          <w:color w:val="000000"/>
          <w:spacing w:val="2"/>
          <w:w w:val="129"/>
          <w:sz w:val="16"/>
          <w:szCs w:val="16"/>
        </w:rPr>
        <w:t xml:space="preserve">interest litigation" </w:t>
      </w:r>
      <w:r>
        <w:rPr>
          <w:rFonts w:ascii="Times New Roman" w:hAnsi="Times New Roman" w:cs="Times New Roman"/>
          <w:color w:val="000000"/>
          <w:spacing w:val="5"/>
          <w:w w:val="134"/>
          <w:sz w:val="16"/>
          <w:szCs w:val="16"/>
        </w:rPr>
        <w:t xml:space="preserve">(PIL) i.e., where the public in general are interested in the </w:t>
      </w:r>
      <w:r>
        <w:rPr>
          <w:rFonts w:ascii="Times New Roman" w:hAnsi="Times New Roman" w:cs="Times New Roman"/>
          <w:color w:val="000000"/>
          <w:spacing w:val="1"/>
          <w:w w:val="128"/>
          <w:sz w:val="16"/>
          <w:szCs w:val="16"/>
        </w:rPr>
        <w:t xml:space="preserve">vindication of some right or the enforcement of some public duty.'8 The high courts </w:t>
      </w:r>
      <w:r>
        <w:rPr>
          <w:rFonts w:ascii="Times New Roman" w:hAnsi="Times New Roman" w:cs="Times New Roman"/>
          <w:color w:val="000000"/>
          <w:spacing w:val="1"/>
          <w:w w:val="128"/>
          <w:sz w:val="16"/>
          <w:szCs w:val="16"/>
        </w:rPr>
        <w:t xml:space="preserve">also have started following this practice in their jurisdiction under Article 226,' and </w:t>
      </w:r>
      <w:r>
        <w:rPr>
          <w:rFonts w:ascii="Times New Roman" w:hAnsi="Times New Roman" w:cs="Times New Roman"/>
          <w:color w:val="000000"/>
          <w:spacing w:val="1"/>
          <w:w w:val="129"/>
          <w:sz w:val="16"/>
          <w:szCs w:val="16"/>
        </w:rPr>
        <w:t xml:space="preserve">the Supreme Court has approved this practice, observing that where public interest </w:t>
      </w:r>
      <w:r>
        <w:rPr>
          <w:rFonts w:ascii="Times New Roman" w:hAnsi="Times New Roman" w:cs="Times New Roman"/>
          <w:color w:val="000000"/>
          <w:spacing w:val="1"/>
          <w:w w:val="128"/>
          <w:sz w:val="16"/>
          <w:szCs w:val="16"/>
        </w:rPr>
        <w:t xml:space="preserve">is undermined by an arbitrary and perverse executive action, it would be the duty of </w:t>
      </w:r>
      <w:r>
        <w:rPr>
          <w:rFonts w:ascii="Times New Roman" w:hAnsi="Times New Roman" w:cs="Times New Roman"/>
          <w:color w:val="000000"/>
          <w:spacing w:val="0"/>
          <w:w w:val="126"/>
          <w:sz w:val="16"/>
          <w:szCs w:val="16"/>
        </w:rPr>
        <w:t xml:space="preserve">the high court to issue a writ.2°</w:t>
      </w:r>
    </w:p>
    <w:p>
      <w:pPr>
        <w:spacing w:before="74" w:after="0" w:line="206" w:lineRule="exact"/>
        <w:ind w:left="1008" w:right="1387" w:firstLine="360"/>
        <w:jc w:val="both"/>
      </w:pPr>
      <w:r>
        <w:rPr>
          <w:rFonts w:ascii="Times New Roman" w:hAnsi="Times New Roman" w:cs="Times New Roman"/>
          <w:color w:val="000000"/>
          <w:spacing w:val="0"/>
          <w:w w:val="127"/>
          <w:sz w:val="16"/>
          <w:szCs w:val="16"/>
        </w:rPr>
        <w:t xml:space="preserve">The court must satisfy itself that the party bringing the PIL is litigating </w:t>
      </w:r>
      <w:r>
        <w:rPr>
          <w:rFonts w:ascii="Times New Roman" w:hAnsi="Times New Roman" w:cs="Times New Roman"/>
          <w:i/>
          <w:color w:val="000000"/>
          <w:spacing w:val="0"/>
          <w:w w:val="127"/>
          <w:sz w:val="16"/>
          <w:szCs w:val="16"/>
        </w:rPr>
        <w:t xml:space="preserve">bona fide </w:t>
      </w:r>
      <w:r>
        <w:rPr>
          <w:rFonts w:ascii="Times New Roman" w:hAnsi="Times New Roman" w:cs="Times New Roman"/>
          <w:color w:val="000000"/>
          <w:spacing w:val="1"/>
          <w:w w:val="129"/>
          <w:sz w:val="16"/>
          <w:szCs w:val="16"/>
        </w:rPr>
        <w:t xml:space="preserve">for public good. It should not be merely a cloak for attaining private ends of a third </w:t>
      </w:r>
      <w:r>
        <w:rPr>
          <w:rFonts w:ascii="Times New Roman" w:hAnsi="Times New Roman" w:cs="Times New Roman"/>
          <w:color w:val="000000"/>
          <w:spacing w:val="4"/>
          <w:w w:val="133"/>
          <w:sz w:val="16"/>
          <w:szCs w:val="16"/>
        </w:rPr>
        <w:t xml:space="preserve">party or of the party bringing the petition. The court can examine the previous </w:t>
      </w:r>
      <w:r>
        <w:rPr>
          <w:rFonts w:ascii="Times New Roman" w:hAnsi="Times New Roman" w:cs="Times New Roman"/>
          <w:color w:val="000000"/>
          <w:spacing w:val="0"/>
          <w:w w:val="127"/>
          <w:sz w:val="16"/>
          <w:szCs w:val="16"/>
        </w:rPr>
        <w:t xml:space="preserve">records of public service rendered by the litigant.21 An advocate filed a writ petition </w:t>
      </w:r>
      <w:r>
        <w:rPr>
          <w:rFonts w:ascii="Times New Roman" w:hAnsi="Times New Roman" w:cs="Times New Roman"/>
          <w:color w:val="000000"/>
          <w:spacing w:val="1"/>
          <w:w w:val="129"/>
          <w:sz w:val="16"/>
          <w:szCs w:val="16"/>
        </w:rPr>
        <w:t xml:space="preserve">against the State or its instrumentalities seeking not only compensation to a victim </w:t>
      </w:r>
      <w:r>
        <w:rPr>
          <w:rFonts w:ascii="Times New Roman" w:hAnsi="Times New Roman" w:cs="Times New Roman"/>
          <w:color w:val="000000"/>
          <w:spacing w:val="1"/>
          <w:w w:val="128"/>
          <w:sz w:val="16"/>
          <w:szCs w:val="16"/>
        </w:rPr>
        <w:t xml:space="preserve">of rape committed by its employees (the railway employees) but also so many other </w:t>
      </w:r>
      <w:r>
        <w:rPr>
          <w:rFonts w:ascii="Times New Roman" w:hAnsi="Times New Roman" w:cs="Times New Roman"/>
          <w:color w:val="000000"/>
          <w:spacing w:val="3"/>
          <w:w w:val="132"/>
          <w:sz w:val="16"/>
          <w:szCs w:val="16"/>
        </w:rPr>
        <w:t xml:space="preserve">reliefs including eradication of anti-social and criminal activities at the railway </w:t>
      </w:r>
      <w:r>
        <w:rPr>
          <w:rFonts w:ascii="Times New Roman" w:hAnsi="Times New Roman" w:cs="Times New Roman"/>
          <w:color w:val="000000"/>
          <w:spacing w:val="2"/>
          <w:w w:val="131"/>
          <w:sz w:val="16"/>
          <w:szCs w:val="16"/>
        </w:rPr>
        <w:t xml:space="preserve">stations. The Supreme Court held that the petition was in the nature of a PIL and </w:t>
      </w:r>
      <w:r>
        <w:rPr>
          <w:rFonts w:ascii="Times New Roman" w:hAnsi="Times New Roman" w:cs="Times New Roman"/>
          <w:color w:val="000000"/>
          <w:spacing w:val="4"/>
          <w:w w:val="133"/>
          <w:sz w:val="16"/>
          <w:szCs w:val="16"/>
        </w:rPr>
        <w:t xml:space="preserve">the advocate could bring in the same for which no personal injury or loss is an </w:t>
      </w:r>
      <w:r>
        <w:rPr>
          <w:rFonts w:ascii="Times New Roman" w:hAnsi="Times New Roman" w:cs="Times New Roman"/>
          <w:color w:val="000000"/>
          <w:spacing w:val="0"/>
          <w:w w:val="124"/>
          <w:sz w:val="16"/>
          <w:szCs w:val="16"/>
        </w:rPr>
        <w:t xml:space="preserve">essential element.22</w:t>
      </w:r>
    </w:p>
    <w:p>
      <w:pPr>
        <w:spacing w:before="79" w:after="0" w:line="200" w:lineRule="exact"/>
        <w:ind w:left="1008" w:right="1416" w:firstLine="350"/>
        <w:jc w:val="both"/>
      </w:pPr>
      <w:r>
        <w:rPr>
          <w:rFonts w:ascii="Times New Roman" w:hAnsi="Times New Roman" w:cs="Times New Roman"/>
          <w:color w:val="000000"/>
          <w:spacing w:val="0"/>
          <w:w w:val="127"/>
          <w:sz w:val="16"/>
          <w:szCs w:val="16"/>
        </w:rPr>
        <w:t xml:space="preserve">As the head of the Judiciary in the State, the high court has got an administrative </w:t>
      </w:r>
      <w:r>
        <w:rPr>
          <w:rFonts w:ascii="Times New Roman" w:hAnsi="Times New Roman" w:cs="Times New Roman"/>
          <w:color w:val="000000"/>
          <w:spacing w:val="0"/>
          <w:w w:val="127"/>
          <w:sz w:val="16"/>
          <w:szCs w:val="16"/>
        </w:rPr>
        <w:t xml:space="preserve">control over the subordinate judiciary in the State in respect of certain matters,</w:t>
      </w:r>
    </w:p>
    <w:p>
      <w:pPr>
        <w:spacing w:after="0" w:line="240" w:lineRule="exact"/>
        <w:rPr>
          <w:sz w:val="12"/>
          <w:szCs w:val="12"/>
        </w:rPr>
        <w:sectPr>
          <w:pgSz w:w="9780" w:h="13460"/>
          <w:pgMar w:top="-20" w:right="0" w:bottom="-20" w:left="0" w:header="0" w:footer="0" w:gutter="0"/>
        </w:sectPr>
      </w:pPr>
    </w:p>
    <w:p>
      <w:pPr>
        <w:spacing w:before="102" w:after="0" w:line="196" w:lineRule="exact"/>
        <w:ind w:left="1041" w:right="21" w:firstLine="9"/>
        <w:jc w:val="both"/>
      </w:pPr>
      <w:r>
        <w:rPr>
          <w:rFonts w:ascii="Times New Roman" w:hAnsi="Times New Roman" w:cs="Times New Roman"/>
          <w:b/>
          <w:color w:val="000000"/>
          <w:spacing w:val="0"/>
          <w:w w:val="118"/>
          <w:sz w:val="14"/>
          <w:szCs w:val="14"/>
        </w:rPr>
        <w:t xml:space="preserve">Control over Subordi</w:t>
      </w:r>
      <w:r>
        <w:rPr>
          <w:rFonts w:ascii="Times New Roman" w:hAnsi="Times New Roman" w:cs="Times New Roman"/>
          <w:b/>
          <w:color w:val="000000"/>
          <w:spacing w:val="0"/>
          <w:w w:val="118"/>
          <w:sz w:val="16"/>
          <w:szCs w:val="16"/>
        </w:rPr>
        <w:t xml:space="preserve">-</w:t>
      </w:r>
      <w:br/>
      <w:r>
        <w:rPr>
          <w:rFonts w:ascii="Times New Roman" w:hAnsi="Times New Roman" w:cs="Times New Roman"/>
          <w:color w:val="000000"/>
          <w:spacing w:val="0"/>
          <w:w w:val="112"/>
          <w:sz w:val="16"/>
          <w:szCs w:val="16"/>
        </w:rPr>
        <w:t xml:space="preserve">nate </w:t>
      </w:r>
      <w:r>
        <w:rPr>
          <w:rFonts w:ascii="Times New Roman" w:hAnsi="Times New Roman" w:cs="Times New Roman"/>
          <w:b/>
          <w:color w:val="000000"/>
          <w:spacing w:val="0"/>
          <w:w w:val="112"/>
          <w:sz w:val="16"/>
          <w:szCs w:val="16"/>
        </w:rPr>
        <w:t xml:space="preserve">Courts.</w:t>
      </w:r>
    </w:p>
    <w:p>
      <w:pPr>
        <w:spacing w:before="15" w:after="0" w:line="208" w:lineRule="exact"/>
        <w:ind w:left="10" w:right="1339"/>
        <w:jc w:val="both"/>
      </w:pPr>
      <w:r>
        <w:rPr>
          <w:rFonts w:ascii="Times New Roman" w:hAnsi="Times New Roman" w:cs="Times New Roman"/>
          <w:color w:val="000000"/>
          <w:spacing w:val="1"/>
          <w:w w:val="127"/>
          <w:sz w:val="16"/>
          <w:szCs w:val="16"/>
        </w:rPr>
        <w:br w:type="column"/>
        <w:t xml:space="preserve">besides its appellate and supervisorryy jurisdiction over them. </w:t>
      </w:r>
      <w:br/>
      <w:r>
        <w:rPr>
          <w:rFonts w:ascii="Times New Roman" w:hAnsi="Times New Roman" w:cs="Times New Roman"/>
          <w:color w:val="000000"/>
          <w:spacing w:val="1"/>
          <w:w w:val="127"/>
          <w:sz w:val="16"/>
          <w:szCs w:val="16"/>
        </w:rPr>
        <w:t xml:space="preserve">The Subordinate Courts include District Judges, Judges of the </w:t>
      </w:r>
      <w:br/>
      <w:r>
        <w:rPr>
          <w:rFonts w:ascii="Times New Roman" w:hAnsi="Times New Roman" w:cs="Times New Roman"/>
          <w:color w:val="000000"/>
          <w:spacing w:val="1"/>
          <w:w w:val="127"/>
          <w:sz w:val="16"/>
          <w:szCs w:val="16"/>
        </w:rPr>
        <w:t xml:space="preserve">City Civil Courts as well as the Metropolitan Magistrates and</w:t>
      </w:r>
    </w:p>
    <w:p>
      <w:pPr>
        <w:spacing w:after="0" w:line="240" w:lineRule="exact"/>
        <w:rPr>
          <w:sz w:val="12"/>
          <w:szCs w:val="12"/>
        </w:rPr>
        <w:sectPr>
          <w:type w:val="continuous"/>
          <w:pgSz w:w="9780" w:h="13460"/>
          <w:pgMar w:top="-20" w:right="0" w:bottom="-20" w:left="0" w:header="0" w:footer="0" w:gutter="0"/>
          <w:cols w:num="2" w:space="720" w:equalWidth="0">
            <w:col w:w="2719" w:space="170" w:equalWidth="0"/>
            <w:col w:w="6741" w:space="170" w:equalWidth="0"/>
          </w:cols>
        </w:sectPr>
      </w:pPr>
    </w:p>
    <w:p>
      <w:pPr>
        <w:spacing w:before="13" w:after="0" w:line="184" w:lineRule="exact"/>
        <w:ind w:left="1008"/>
      </w:pPr>
      <w:r>
        <w:rPr>
          <w:rFonts w:ascii="Times New Roman" w:hAnsi="Times New Roman" w:cs="Times New Roman"/>
          <w:color w:val="000000"/>
          <w:spacing w:val="1"/>
          <w:w w:val="127"/>
          <w:sz w:val="16"/>
          <w:szCs w:val="16"/>
        </w:rPr>
        <w:t xml:space="preserve">members of the judicial service of the State.</w:t>
      </w:r>
    </w:p>
    <w:p>
      <w:pPr>
        <w:spacing w:before="83" w:after="0" w:line="200" w:lineRule="exact"/>
        <w:ind w:left="1008" w:right="1411" w:firstLine="360"/>
        <w:jc w:val="both"/>
      </w:pPr>
      <w:r>
        <w:rPr>
          <w:rFonts w:ascii="Times New Roman" w:hAnsi="Times New Roman" w:cs="Times New Roman"/>
          <w:color w:val="000000"/>
          <w:spacing w:val="3"/>
          <w:w w:val="132"/>
          <w:sz w:val="16"/>
          <w:szCs w:val="16"/>
        </w:rPr>
        <w:t xml:space="preserve">The control over the judges of these Subordinate Courts is exercised by the </w:t>
      </w:r>
      <w:r>
        <w:rPr>
          <w:rFonts w:ascii="Times New Roman" w:hAnsi="Times New Roman" w:cs="Times New Roman"/>
          <w:color w:val="000000"/>
          <w:spacing w:val="1"/>
          <w:w w:val="127"/>
          <w:sz w:val="16"/>
          <w:szCs w:val="16"/>
        </w:rPr>
        <w:t xml:space="preserve">high courts in the following matters —</w:t>
      </w:r>
    </w:p>
    <w:p>
      <w:pPr>
        <w:spacing w:before="64" w:after="0" w:line="220" w:lineRule="exact"/>
        <w:ind w:left="1008" w:right="1387" w:firstLine="383"/>
        <w:jc w:val="both"/>
      </w:pPr>
      <w:r>
        <w:rPr>
          <w:rFonts w:ascii="Times New Roman" w:hAnsi="Times New Roman" w:cs="Times New Roman"/>
          <w:color w:val="000000"/>
          <w:spacing w:val="0"/>
          <w:w w:val="150"/>
          <w:sz w:val="16"/>
          <w:szCs w:val="16"/>
        </w:rPr>
        <w:t xml:space="preserve">(a)  The high court is to be consulted by the Governor in the matter of </w:t>
      </w:r>
      <w:r>
        <w:rPr>
          <w:rFonts w:ascii="Times New Roman" w:hAnsi="Times New Roman" w:cs="Times New Roman"/>
          <w:color w:val="000000"/>
          <w:spacing w:val="0"/>
          <w:w w:val="126"/>
          <w:sz w:val="16"/>
          <w:szCs w:val="16"/>
        </w:rPr>
        <w:t xml:space="preserve">appointing, posting and promoting District Judges </w:t>
      </w:r>
      <w:r>
        <w:rPr>
          <w:rFonts w:ascii="Times New Roman" w:hAnsi="Times New Roman" w:cs="Times New Roman"/>
          <w:i/>
          <w:color w:val="000000"/>
          <w:spacing w:val="0"/>
          <w:w w:val="126"/>
          <w:sz w:val="16"/>
          <w:szCs w:val="16"/>
        </w:rPr>
        <w:t xml:space="preserve">[Article </w:t>
      </w:r>
      <w:r>
        <w:rPr>
          <w:rFonts w:ascii="Times New Roman" w:hAnsi="Times New Roman" w:cs="Times New Roman"/>
          <w:color w:val="000000"/>
          <w:spacing w:val="0"/>
          <w:w w:val="126"/>
          <w:sz w:val="16"/>
          <w:szCs w:val="16"/>
        </w:rPr>
        <w:t xml:space="preserve">233] .</w:t>
      </w:r>
    </w:p>
    <w:sectPr>
      <w:type w:val="continuous"/>
      <w:pgSz w:w="9780" w:h="13460"/>
      <w:pgMar w:top="-20" w:right="0" w:bottom="-20" w:left="0" w:header="0" w:footer="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 New Roman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8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doNotLeaveBackslashAlone/>
    <w:ulTrailSpace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202E3"/>
    <w:rsid w:val="008202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8" Type="http://schemas.openxmlformats.org/officeDocument/2006/relationships/theme" Target="theme/theme1.xml" />
  <Relationship Id="rId3" Type="http://schemas.openxmlformats.org/officeDocument/2006/relationships/webSettings" Target="webSettings.xml" />
  <Relationship Id="rId7" Type="http://schemas.openxmlformats.org/officeDocument/2006/relationships/fontTable" Target="fontTable.xml" />
  <Relationship Id="rId2" Type="http://schemas.openxmlformats.org/officeDocument/2006/relationships/settings" Target="settings.xml" />
  <Relationship Id="rId1" Type="http://schemas.openxmlformats.org/officeDocument/2006/relationships/styles" Target="styles.xml" 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Victor</cp:lastModifiedBy>
  <cp:revision>2</cp:revision>
  <dcterms:created xsi:type="dcterms:W3CDTF">2011-06-08T20:36:00Z</dcterms:created>
  <dcterms:modified xsi:type="dcterms:W3CDTF">2011-06-08T20:36:00Z</dcterms:modified>
</cp:coreProperties>
</file>